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E6" w:rsidRPr="00127BCA" w:rsidRDefault="00127BCA">
      <w:pPr>
        <w:tabs>
          <w:tab w:val="left" w:pos="960"/>
          <w:tab w:val="left" w:pos="1920"/>
          <w:tab w:val="left" w:pos="2880"/>
          <w:tab w:val="left" w:pos="3840"/>
          <w:tab w:val="left" w:pos="4800"/>
          <w:tab w:val="left" w:pos="5760"/>
          <w:tab w:val="left" w:pos="6720"/>
          <w:tab w:val="left" w:pos="7680"/>
          <w:tab w:val="left" w:pos="9480"/>
          <w:tab w:val="left" w:pos="11520"/>
          <w:tab w:val="left" w:pos="12480"/>
        </w:tabs>
        <w:autoSpaceDE w:val="0"/>
        <w:autoSpaceDN w:val="0"/>
        <w:spacing w:line="240" w:lineRule="auto"/>
        <w:ind w:right="240"/>
        <w:jc w:val="center"/>
        <w:rPr>
          <w:rFonts w:ascii="標楷體" w:eastAsia="標楷體"/>
          <w:sz w:val="40"/>
        </w:rPr>
      </w:pPr>
      <w:r w:rsidRPr="00127BCA">
        <w:rPr>
          <w:rFonts w:ascii="標楷體" w:eastAsia="標楷體" w:hint="eastAsia"/>
          <w:sz w:val="40"/>
        </w:rPr>
        <w:t>花蓮</w:t>
      </w:r>
      <w:r w:rsidR="00B65632" w:rsidRPr="00127BCA">
        <w:rPr>
          <w:rFonts w:ascii="標楷體" w:eastAsia="標楷體" w:hint="eastAsia"/>
          <w:sz w:val="40"/>
        </w:rPr>
        <w:t>縣廢機動車輛認定及移置統計編製說明</w:t>
      </w:r>
    </w:p>
    <w:p w:rsidR="006467E6" w:rsidRPr="00127BCA" w:rsidRDefault="00B65632">
      <w:pPr>
        <w:tabs>
          <w:tab w:val="left" w:pos="0"/>
          <w:tab w:val="left" w:pos="960"/>
          <w:tab w:val="left" w:pos="1920"/>
          <w:tab w:val="left" w:pos="2880"/>
          <w:tab w:val="left" w:pos="3840"/>
          <w:tab w:val="left" w:pos="4800"/>
          <w:tab w:val="left" w:pos="5760"/>
          <w:tab w:val="left" w:pos="6720"/>
          <w:tab w:val="left" w:pos="7680"/>
          <w:tab w:val="left" w:pos="9480"/>
          <w:tab w:val="left" w:pos="11520"/>
          <w:tab w:val="left" w:pos="12480"/>
        </w:tabs>
        <w:autoSpaceDE w:val="0"/>
        <w:autoSpaceDN w:val="0"/>
        <w:spacing w:line="240" w:lineRule="auto"/>
        <w:ind w:right="238"/>
        <w:rPr>
          <w:rFonts w:ascii="標楷體" w:eastAsia="標楷體"/>
        </w:rPr>
      </w:pPr>
      <w:r w:rsidRPr="00127BCA">
        <w:rPr>
          <w:rFonts w:ascii="標楷體" w:eastAsia="標楷體" w:hint="eastAsia"/>
        </w:rPr>
        <w:t>一、統計範圍及對象：本縣（市）廢機動車輛查報、</w:t>
      </w:r>
      <w:r w:rsidR="00C475B0" w:rsidRPr="00127BCA">
        <w:rPr>
          <w:rFonts w:ascii="標楷體" w:eastAsia="標楷體" w:hint="eastAsia"/>
        </w:rPr>
        <w:t>張貼通知</w:t>
      </w:r>
      <w:r w:rsidR="005C7BD0" w:rsidRPr="00127BCA">
        <w:rPr>
          <w:rFonts w:ascii="標楷體" w:eastAsia="標楷體" w:hint="eastAsia"/>
        </w:rPr>
        <w:t>及</w:t>
      </w:r>
      <w:r w:rsidRPr="00127BCA">
        <w:rPr>
          <w:rFonts w:ascii="標楷體" w:eastAsia="標楷體" w:hint="eastAsia"/>
        </w:rPr>
        <w:t>移置</w:t>
      </w:r>
      <w:proofErr w:type="gramStart"/>
      <w:r w:rsidR="00C475B0" w:rsidRPr="00127BCA">
        <w:rPr>
          <w:rFonts w:ascii="標楷體" w:eastAsia="標楷體" w:hint="eastAsia"/>
        </w:rPr>
        <w:t>情形</w:t>
      </w:r>
      <w:r w:rsidRPr="00127BCA">
        <w:rPr>
          <w:rFonts w:ascii="標楷體" w:eastAsia="標楷體" w:hint="eastAsia"/>
        </w:rPr>
        <w:t>均為統計</w:t>
      </w:r>
      <w:proofErr w:type="gramEnd"/>
      <w:r w:rsidRPr="00127BCA">
        <w:rPr>
          <w:rFonts w:ascii="標楷體" w:eastAsia="標楷體" w:hint="eastAsia"/>
        </w:rPr>
        <w:t>對象。</w:t>
      </w:r>
    </w:p>
    <w:p w:rsidR="006467E6" w:rsidRPr="00127BCA" w:rsidRDefault="00B65632" w:rsidP="005D180C">
      <w:pPr>
        <w:tabs>
          <w:tab w:val="left" w:pos="0"/>
          <w:tab w:val="left" w:pos="960"/>
          <w:tab w:val="left" w:pos="1920"/>
          <w:tab w:val="left" w:pos="2880"/>
          <w:tab w:val="left" w:pos="3840"/>
          <w:tab w:val="left" w:pos="4800"/>
          <w:tab w:val="left" w:pos="5760"/>
          <w:tab w:val="left" w:pos="6720"/>
          <w:tab w:val="left" w:pos="7680"/>
          <w:tab w:val="left" w:pos="9480"/>
          <w:tab w:val="left" w:pos="11520"/>
          <w:tab w:val="left" w:pos="12480"/>
        </w:tabs>
        <w:autoSpaceDE w:val="0"/>
        <w:autoSpaceDN w:val="0"/>
        <w:spacing w:line="240" w:lineRule="auto"/>
        <w:ind w:right="240"/>
        <w:rPr>
          <w:rFonts w:ascii="標楷體" w:eastAsia="標楷體"/>
        </w:rPr>
      </w:pPr>
      <w:r w:rsidRPr="00127BCA">
        <w:rPr>
          <w:rFonts w:ascii="標楷體" w:eastAsia="標楷體" w:hint="eastAsia"/>
        </w:rPr>
        <w:t>二、統計標準時間：以每月1日至月底之事實為</w:t>
      </w:r>
      <w:proofErr w:type="gramStart"/>
      <w:r w:rsidRPr="00127BCA">
        <w:rPr>
          <w:rFonts w:ascii="標楷體" w:eastAsia="標楷體" w:hint="eastAsia"/>
        </w:rPr>
        <w:t>準</w:t>
      </w:r>
      <w:proofErr w:type="gramEnd"/>
      <w:r w:rsidRPr="00127BCA">
        <w:rPr>
          <w:rFonts w:ascii="標楷體" w:eastAsia="標楷體" w:hint="eastAsia"/>
        </w:rPr>
        <w:t>。</w:t>
      </w:r>
    </w:p>
    <w:p w:rsidR="00481433" w:rsidRPr="00127BCA" w:rsidRDefault="00B65632">
      <w:pPr>
        <w:tabs>
          <w:tab w:val="left" w:pos="0"/>
          <w:tab w:val="left" w:pos="960"/>
          <w:tab w:val="left" w:pos="1920"/>
          <w:tab w:val="left" w:pos="2880"/>
          <w:tab w:val="left" w:pos="3840"/>
          <w:tab w:val="left" w:pos="4800"/>
          <w:tab w:val="left" w:pos="5760"/>
          <w:tab w:val="left" w:pos="6720"/>
          <w:tab w:val="left" w:pos="7680"/>
          <w:tab w:val="left" w:pos="9480"/>
          <w:tab w:val="left" w:pos="11520"/>
          <w:tab w:val="left" w:pos="12480"/>
        </w:tabs>
        <w:autoSpaceDE w:val="0"/>
        <w:autoSpaceDN w:val="0"/>
        <w:spacing w:line="240" w:lineRule="auto"/>
        <w:ind w:right="240"/>
        <w:rPr>
          <w:rFonts w:ascii="標楷體" w:eastAsia="標楷體"/>
        </w:rPr>
      </w:pPr>
      <w:r w:rsidRPr="00127BCA">
        <w:rPr>
          <w:rFonts w:ascii="標楷體" w:eastAsia="標楷體" w:hint="eastAsia"/>
        </w:rPr>
        <w:t>三、分類標準：</w:t>
      </w:r>
    </w:p>
    <w:p w:rsidR="006467E6" w:rsidRPr="00127BCA" w:rsidRDefault="00481433" w:rsidP="00481433">
      <w:pPr>
        <w:tabs>
          <w:tab w:val="left" w:pos="960"/>
          <w:tab w:val="left" w:pos="1920"/>
          <w:tab w:val="left" w:pos="2880"/>
          <w:tab w:val="left" w:pos="3840"/>
          <w:tab w:val="left" w:pos="4800"/>
          <w:tab w:val="left" w:pos="5760"/>
          <w:tab w:val="left" w:pos="6720"/>
          <w:tab w:val="left" w:pos="7680"/>
          <w:tab w:val="left" w:pos="9480"/>
          <w:tab w:val="left" w:pos="11520"/>
          <w:tab w:val="left" w:pos="12480"/>
        </w:tabs>
        <w:autoSpaceDE w:val="0"/>
        <w:autoSpaceDN w:val="0"/>
        <w:spacing w:line="240" w:lineRule="auto"/>
        <w:ind w:left="960" w:right="238" w:hangingChars="400" w:hanging="960"/>
        <w:rPr>
          <w:rFonts w:ascii="標楷體" w:eastAsia="標楷體"/>
        </w:rPr>
      </w:pPr>
      <w:r w:rsidRPr="00127BCA">
        <w:rPr>
          <w:rFonts w:ascii="標楷體" w:eastAsia="標楷體" w:hint="eastAsia"/>
        </w:rPr>
        <w:t xml:space="preserve">     </w:t>
      </w:r>
      <w:r w:rsidR="00B65632" w:rsidRPr="00127BCA">
        <w:rPr>
          <w:rFonts w:ascii="標楷體" w:eastAsia="標楷體"/>
        </w:rPr>
        <w:t>(</w:t>
      </w:r>
      <w:proofErr w:type="gramStart"/>
      <w:r w:rsidR="00B65632" w:rsidRPr="00127BCA">
        <w:rPr>
          <w:rFonts w:ascii="標楷體" w:eastAsia="標楷體" w:hint="eastAsia"/>
        </w:rPr>
        <w:t>一</w:t>
      </w:r>
      <w:proofErr w:type="gramEnd"/>
      <w:r w:rsidR="00B65632" w:rsidRPr="00127BCA">
        <w:rPr>
          <w:rFonts w:ascii="標楷體" w:eastAsia="標楷體"/>
        </w:rPr>
        <w:t>)</w:t>
      </w:r>
      <w:r w:rsidR="00B65632" w:rsidRPr="00127BCA">
        <w:rPr>
          <w:rFonts w:ascii="標楷體" w:eastAsia="標楷體" w:hint="eastAsia"/>
        </w:rPr>
        <w:t>縱</w:t>
      </w:r>
      <w:r w:rsidR="00A10E2F" w:rsidRPr="00127BCA">
        <w:rPr>
          <w:rFonts w:ascii="標楷體" w:eastAsia="標楷體" w:hint="eastAsia"/>
        </w:rPr>
        <w:t>項</w:t>
      </w:r>
      <w:r w:rsidR="00B65632" w:rsidRPr="00127BCA">
        <w:rPr>
          <w:rFonts w:ascii="標楷體" w:eastAsia="標楷體" w:hint="eastAsia"/>
        </w:rPr>
        <w:t>目按</w:t>
      </w:r>
      <w:r w:rsidRPr="00127BCA">
        <w:rPr>
          <w:rFonts w:ascii="標楷體" w:eastAsia="標楷體" w:hint="eastAsia"/>
        </w:rPr>
        <w:t>查(通)報數、現場查核數、張貼通知數、完成</w:t>
      </w:r>
      <w:proofErr w:type="gramStart"/>
      <w:r w:rsidRPr="00127BCA">
        <w:rPr>
          <w:rFonts w:ascii="標楷體" w:eastAsia="標楷體" w:hint="eastAsia"/>
        </w:rPr>
        <w:t>移置數及</w:t>
      </w:r>
      <w:proofErr w:type="gramEnd"/>
      <w:r w:rsidRPr="00127BCA">
        <w:rPr>
          <w:rFonts w:ascii="標楷體" w:eastAsia="標楷體" w:hint="eastAsia"/>
        </w:rPr>
        <w:t>無法完成</w:t>
      </w:r>
      <w:proofErr w:type="gramStart"/>
      <w:r w:rsidRPr="00127BCA">
        <w:rPr>
          <w:rFonts w:ascii="標楷體" w:eastAsia="標楷體" w:hint="eastAsia"/>
        </w:rPr>
        <w:t>移置數</w:t>
      </w:r>
      <w:r w:rsidR="00B65632" w:rsidRPr="00127BCA">
        <w:rPr>
          <w:rFonts w:ascii="標楷體" w:eastAsia="標楷體" w:hint="eastAsia"/>
        </w:rPr>
        <w:t>分</w:t>
      </w:r>
      <w:proofErr w:type="gramEnd"/>
      <w:r w:rsidR="00B65632" w:rsidRPr="00127BCA">
        <w:rPr>
          <w:rFonts w:ascii="標楷體" w:eastAsia="標楷體" w:hint="eastAsia"/>
        </w:rPr>
        <w:t>。</w:t>
      </w:r>
    </w:p>
    <w:p w:rsidR="006467E6" w:rsidRPr="00127BCA" w:rsidRDefault="00B65632" w:rsidP="00481433">
      <w:pPr>
        <w:tabs>
          <w:tab w:val="left" w:pos="960"/>
          <w:tab w:val="left" w:pos="1920"/>
          <w:tab w:val="left" w:pos="2880"/>
          <w:tab w:val="left" w:pos="3840"/>
          <w:tab w:val="left" w:pos="4800"/>
          <w:tab w:val="left" w:pos="5760"/>
          <w:tab w:val="left" w:pos="6720"/>
          <w:tab w:val="left" w:pos="7680"/>
          <w:tab w:val="left" w:pos="9480"/>
          <w:tab w:val="left" w:pos="11520"/>
          <w:tab w:val="left" w:pos="12480"/>
        </w:tabs>
        <w:autoSpaceDE w:val="0"/>
        <w:autoSpaceDN w:val="0"/>
        <w:spacing w:line="240" w:lineRule="auto"/>
        <w:ind w:left="960" w:right="238" w:hangingChars="400" w:hanging="960"/>
        <w:rPr>
          <w:rFonts w:ascii="標楷體" w:eastAsia="標楷體"/>
        </w:rPr>
      </w:pPr>
      <w:r w:rsidRPr="00127BCA">
        <w:rPr>
          <w:rFonts w:ascii="標楷體" w:eastAsia="標楷體"/>
        </w:rPr>
        <w:t xml:space="preserve">     (</w:t>
      </w:r>
      <w:r w:rsidRPr="00127BCA">
        <w:rPr>
          <w:rFonts w:ascii="標楷體" w:eastAsia="標楷體" w:hint="eastAsia"/>
        </w:rPr>
        <w:t>二</w:t>
      </w:r>
      <w:r w:rsidRPr="00127BCA">
        <w:rPr>
          <w:rFonts w:ascii="標楷體" w:eastAsia="標楷體"/>
        </w:rPr>
        <w:t>)</w:t>
      </w:r>
      <w:r w:rsidRPr="00127BCA">
        <w:rPr>
          <w:rFonts w:ascii="標楷體" w:eastAsia="標楷體" w:hint="eastAsia"/>
        </w:rPr>
        <w:t>橫</w:t>
      </w:r>
      <w:r w:rsidR="00A10E2F" w:rsidRPr="00127BCA">
        <w:rPr>
          <w:rFonts w:ascii="標楷體" w:eastAsia="標楷體" w:hint="eastAsia"/>
        </w:rPr>
        <w:t>項</w:t>
      </w:r>
      <w:r w:rsidRPr="00127BCA">
        <w:rPr>
          <w:rFonts w:ascii="標楷體" w:eastAsia="標楷體" w:hint="eastAsia"/>
        </w:rPr>
        <w:t>目按環保、警政單位張貼通知及</w:t>
      </w:r>
      <w:proofErr w:type="gramStart"/>
      <w:r w:rsidRPr="00127BCA">
        <w:rPr>
          <w:rFonts w:ascii="標楷體" w:eastAsia="標楷體" w:hint="eastAsia"/>
        </w:rPr>
        <w:t>汽機車別分</w:t>
      </w:r>
      <w:proofErr w:type="gramEnd"/>
      <w:r w:rsidRPr="00127BCA">
        <w:rPr>
          <w:rFonts w:ascii="標楷體" w:eastAsia="標楷體" w:hint="eastAsia"/>
        </w:rPr>
        <w:t>。</w:t>
      </w:r>
    </w:p>
    <w:p w:rsidR="006467E6" w:rsidRPr="00127BCA" w:rsidRDefault="00B65632">
      <w:pPr>
        <w:tabs>
          <w:tab w:val="left" w:pos="0"/>
          <w:tab w:val="left" w:pos="960"/>
          <w:tab w:val="left" w:pos="1920"/>
          <w:tab w:val="left" w:pos="2880"/>
          <w:tab w:val="left" w:pos="3840"/>
          <w:tab w:val="left" w:pos="4800"/>
          <w:tab w:val="left" w:pos="5760"/>
          <w:tab w:val="left" w:pos="6720"/>
          <w:tab w:val="left" w:pos="7680"/>
          <w:tab w:val="left" w:pos="9480"/>
          <w:tab w:val="left" w:pos="11520"/>
          <w:tab w:val="left" w:pos="12480"/>
        </w:tabs>
        <w:autoSpaceDE w:val="0"/>
        <w:autoSpaceDN w:val="0"/>
        <w:spacing w:line="240" w:lineRule="auto"/>
        <w:ind w:right="240"/>
        <w:rPr>
          <w:rFonts w:ascii="標楷體" w:eastAsia="標楷體"/>
        </w:rPr>
      </w:pPr>
      <w:r w:rsidRPr="00127BCA">
        <w:rPr>
          <w:rFonts w:ascii="標楷體" w:eastAsia="標楷體" w:hint="eastAsia"/>
        </w:rPr>
        <w:t>四、</w:t>
      </w:r>
      <w:r w:rsidR="003D3A1E" w:rsidRPr="00127BCA">
        <w:rPr>
          <w:rFonts w:ascii="標楷體" w:eastAsia="標楷體" w:hint="eastAsia"/>
        </w:rPr>
        <w:t>統計項</w:t>
      </w:r>
      <w:r w:rsidRPr="00127BCA">
        <w:rPr>
          <w:rFonts w:ascii="標楷體" w:eastAsia="標楷體" w:hint="eastAsia"/>
        </w:rPr>
        <w:t>目定義：</w:t>
      </w:r>
    </w:p>
    <w:p w:rsidR="00236891" w:rsidRPr="00127BCA" w:rsidRDefault="00236891" w:rsidP="00236891">
      <w:pPr>
        <w:tabs>
          <w:tab w:val="left" w:pos="960"/>
          <w:tab w:val="left" w:pos="1920"/>
          <w:tab w:val="left" w:pos="2880"/>
          <w:tab w:val="left" w:pos="3840"/>
          <w:tab w:val="left" w:pos="4800"/>
          <w:tab w:val="left" w:pos="5760"/>
          <w:tab w:val="left" w:pos="6720"/>
          <w:tab w:val="left" w:pos="7680"/>
          <w:tab w:val="left" w:pos="9480"/>
          <w:tab w:val="left" w:pos="11520"/>
          <w:tab w:val="left" w:pos="12480"/>
        </w:tabs>
        <w:autoSpaceDE w:val="0"/>
        <w:autoSpaceDN w:val="0"/>
        <w:spacing w:line="240" w:lineRule="auto"/>
        <w:ind w:left="960" w:right="238" w:hangingChars="400" w:hanging="960"/>
        <w:rPr>
          <w:rFonts w:ascii="標楷體" w:eastAsia="標楷體"/>
        </w:rPr>
      </w:pPr>
      <w:r w:rsidRPr="00127BCA">
        <w:rPr>
          <w:rFonts w:ascii="標楷體" w:eastAsia="標楷體"/>
        </w:rPr>
        <w:t xml:space="preserve">   </w:t>
      </w:r>
      <w:r w:rsidR="00B65632" w:rsidRPr="00127BCA">
        <w:rPr>
          <w:rFonts w:ascii="標楷體" w:eastAsia="標楷體"/>
        </w:rPr>
        <w:t>(</w:t>
      </w:r>
      <w:proofErr w:type="gramStart"/>
      <w:r w:rsidR="00B65632" w:rsidRPr="00127BCA">
        <w:rPr>
          <w:rFonts w:ascii="標楷體" w:eastAsia="標楷體" w:hint="eastAsia"/>
        </w:rPr>
        <w:t>一</w:t>
      </w:r>
      <w:proofErr w:type="gramEnd"/>
      <w:r w:rsidR="00B65632" w:rsidRPr="00127BCA">
        <w:rPr>
          <w:rFonts w:ascii="標楷體" w:eastAsia="標楷體"/>
        </w:rPr>
        <w:t>)</w:t>
      </w:r>
      <w:r w:rsidR="00B65632" w:rsidRPr="00127BCA">
        <w:rPr>
          <w:rFonts w:ascii="標楷體" w:eastAsia="標楷體" w:hint="eastAsia"/>
        </w:rPr>
        <w:t>機動車輛：指在道路上</w:t>
      </w:r>
      <w:r w:rsidRPr="00127BCA">
        <w:rPr>
          <w:rFonts w:ascii="標楷體" w:eastAsia="標楷體" w:hint="eastAsia"/>
        </w:rPr>
        <w:t>不依軌道或電力架線而</w:t>
      </w:r>
      <w:r w:rsidR="00B65632" w:rsidRPr="00127BCA">
        <w:rPr>
          <w:rFonts w:ascii="標楷體" w:eastAsia="標楷體" w:hint="eastAsia"/>
        </w:rPr>
        <w:t>以</w:t>
      </w:r>
      <w:r w:rsidR="00DC6E02" w:rsidRPr="00127BCA">
        <w:rPr>
          <w:rFonts w:ascii="標楷體" w:eastAsia="標楷體" w:hint="eastAsia"/>
        </w:rPr>
        <w:t>內燃</w:t>
      </w:r>
      <w:r w:rsidR="00B65632" w:rsidRPr="00127BCA">
        <w:rPr>
          <w:rFonts w:ascii="標楷體" w:eastAsia="標楷體" w:hint="eastAsia"/>
        </w:rPr>
        <w:t>機</w:t>
      </w:r>
      <w:r w:rsidR="00DC6E02" w:rsidRPr="00127BCA">
        <w:rPr>
          <w:rFonts w:ascii="標楷體" w:eastAsia="標楷體" w:hint="eastAsia"/>
        </w:rPr>
        <w:t>引擎或電動馬達驅動</w:t>
      </w:r>
      <w:r w:rsidR="00B65632" w:rsidRPr="00127BCA">
        <w:rPr>
          <w:rFonts w:ascii="標楷體" w:eastAsia="標楷體" w:hint="eastAsia"/>
        </w:rPr>
        <w:t>行駛之汽車及機車。</w:t>
      </w:r>
    </w:p>
    <w:p w:rsidR="006467E6" w:rsidRPr="00127BCA" w:rsidRDefault="00236891">
      <w:pPr>
        <w:tabs>
          <w:tab w:val="left" w:pos="960"/>
          <w:tab w:val="left" w:pos="1920"/>
          <w:tab w:val="left" w:pos="2880"/>
          <w:tab w:val="left" w:pos="3840"/>
          <w:tab w:val="left" w:pos="4800"/>
          <w:tab w:val="left" w:pos="5760"/>
          <w:tab w:val="left" w:pos="6720"/>
          <w:tab w:val="left" w:pos="7680"/>
          <w:tab w:val="left" w:pos="9480"/>
          <w:tab w:val="left" w:pos="11520"/>
          <w:tab w:val="left" w:pos="12480"/>
        </w:tabs>
        <w:autoSpaceDE w:val="0"/>
        <w:autoSpaceDN w:val="0"/>
        <w:spacing w:line="240" w:lineRule="auto"/>
        <w:ind w:right="240"/>
        <w:rPr>
          <w:rFonts w:ascii="標楷體" w:eastAsia="標楷體"/>
        </w:rPr>
      </w:pPr>
      <w:r w:rsidRPr="00127BCA">
        <w:rPr>
          <w:rFonts w:ascii="標楷體" w:eastAsia="標楷體"/>
        </w:rPr>
        <w:t xml:space="preserve">   </w:t>
      </w:r>
      <w:r w:rsidR="00B65632" w:rsidRPr="00127BCA">
        <w:rPr>
          <w:rFonts w:ascii="標楷體" w:eastAsia="標楷體"/>
        </w:rPr>
        <w:t>(</w:t>
      </w:r>
      <w:r w:rsidR="00B65632" w:rsidRPr="00127BCA">
        <w:rPr>
          <w:rFonts w:ascii="標楷體" w:eastAsia="標楷體" w:hint="eastAsia"/>
        </w:rPr>
        <w:t>二</w:t>
      </w:r>
      <w:r w:rsidR="00B65632" w:rsidRPr="00127BCA">
        <w:rPr>
          <w:rFonts w:ascii="標楷體" w:eastAsia="標楷體"/>
        </w:rPr>
        <w:t>)</w:t>
      </w:r>
      <w:r w:rsidR="00B65632" w:rsidRPr="00127BCA">
        <w:rPr>
          <w:rFonts w:ascii="標楷體" w:eastAsia="標楷體" w:hint="eastAsia"/>
        </w:rPr>
        <w:t>廢機動車輛</w:t>
      </w:r>
      <w:r w:rsidR="00877332" w:rsidRPr="00127BCA">
        <w:rPr>
          <w:rFonts w:ascii="標楷體" w:eastAsia="標楷體" w:hint="eastAsia"/>
        </w:rPr>
        <w:t>認定</w:t>
      </w:r>
      <w:r w:rsidR="00B65632" w:rsidRPr="00127BCA">
        <w:rPr>
          <w:rFonts w:ascii="標楷體" w:eastAsia="標楷體" w:hint="eastAsia"/>
        </w:rPr>
        <w:t>：占用道路機動車輛有下列情形之</w:t>
      </w:r>
      <w:proofErr w:type="gramStart"/>
      <w:r w:rsidR="00B65632" w:rsidRPr="00127BCA">
        <w:rPr>
          <w:rFonts w:ascii="標楷體" w:eastAsia="標楷體" w:hint="eastAsia"/>
        </w:rPr>
        <w:t>一</w:t>
      </w:r>
      <w:proofErr w:type="gramEnd"/>
      <w:r w:rsidR="00B65632" w:rsidRPr="00127BCA">
        <w:rPr>
          <w:rFonts w:ascii="標楷體" w:eastAsia="標楷體" w:hint="eastAsia"/>
        </w:rPr>
        <w:t>者，認定為廢機動車輛：</w:t>
      </w:r>
    </w:p>
    <w:p w:rsidR="006467E6" w:rsidRPr="00127BCA" w:rsidRDefault="00B65632" w:rsidP="00481433">
      <w:pPr>
        <w:tabs>
          <w:tab w:val="left" w:pos="960"/>
          <w:tab w:val="left" w:pos="1440"/>
          <w:tab w:val="left" w:pos="1800"/>
          <w:tab w:val="left" w:pos="2040"/>
          <w:tab w:val="left" w:pos="7680"/>
          <w:tab w:val="left" w:pos="9480"/>
          <w:tab w:val="left" w:pos="11520"/>
          <w:tab w:val="left" w:pos="12480"/>
        </w:tabs>
        <w:autoSpaceDE w:val="0"/>
        <w:autoSpaceDN w:val="0"/>
        <w:spacing w:line="240" w:lineRule="auto"/>
        <w:ind w:right="238" w:firstLine="851"/>
        <w:rPr>
          <w:rFonts w:ascii="標楷體" w:eastAsia="標楷體"/>
        </w:rPr>
      </w:pPr>
      <w:r w:rsidRPr="00127BCA">
        <w:rPr>
          <w:rFonts w:ascii="標楷體" w:eastAsia="標楷體"/>
        </w:rPr>
        <w:t>1.</w:t>
      </w:r>
      <w:r w:rsidRPr="00127BCA">
        <w:rPr>
          <w:rFonts w:ascii="標楷體" w:eastAsia="標楷體" w:hint="eastAsia"/>
        </w:rPr>
        <w:t>經所有人或其他代理人</w:t>
      </w:r>
      <w:r w:rsidR="007448BE" w:rsidRPr="00127BCA">
        <w:rPr>
          <w:rFonts w:ascii="標楷體" w:eastAsia="標楷體" w:hint="eastAsia"/>
        </w:rPr>
        <w:t>以</w:t>
      </w:r>
      <w:r w:rsidRPr="00127BCA">
        <w:rPr>
          <w:rFonts w:ascii="標楷體" w:eastAsia="標楷體" w:hint="eastAsia"/>
        </w:rPr>
        <w:t>書面放棄之車輛。</w:t>
      </w:r>
    </w:p>
    <w:p w:rsidR="006467E6" w:rsidRPr="00127BCA" w:rsidRDefault="00B65632" w:rsidP="00481433">
      <w:pPr>
        <w:tabs>
          <w:tab w:val="left" w:pos="960"/>
          <w:tab w:val="left" w:pos="1440"/>
          <w:tab w:val="left" w:pos="1800"/>
          <w:tab w:val="left" w:pos="2040"/>
          <w:tab w:val="left" w:pos="7680"/>
          <w:tab w:val="left" w:pos="9480"/>
          <w:tab w:val="left" w:pos="11520"/>
          <w:tab w:val="left" w:pos="12480"/>
        </w:tabs>
        <w:autoSpaceDE w:val="0"/>
        <w:autoSpaceDN w:val="0"/>
        <w:spacing w:line="240" w:lineRule="auto"/>
        <w:ind w:right="238" w:firstLine="851"/>
        <w:rPr>
          <w:rFonts w:ascii="標楷體" w:eastAsia="標楷體"/>
        </w:rPr>
      </w:pPr>
      <w:r w:rsidRPr="00127BCA">
        <w:rPr>
          <w:rFonts w:ascii="標楷體" w:eastAsia="標楷體"/>
        </w:rPr>
        <w:t>2.</w:t>
      </w:r>
      <w:r w:rsidRPr="00127BCA">
        <w:rPr>
          <w:rFonts w:ascii="標楷體" w:eastAsia="標楷體" w:hint="eastAsia"/>
        </w:rPr>
        <w:t>車體</w:t>
      </w:r>
      <w:proofErr w:type="gramStart"/>
      <w:r w:rsidRPr="00127BCA">
        <w:rPr>
          <w:rFonts w:ascii="標楷體" w:eastAsia="標楷體" w:hint="eastAsia"/>
        </w:rPr>
        <w:t>髒</w:t>
      </w:r>
      <w:proofErr w:type="gramEnd"/>
      <w:r w:rsidRPr="00127BCA">
        <w:rPr>
          <w:rFonts w:ascii="標楷體" w:eastAsia="標楷體" w:hint="eastAsia"/>
        </w:rPr>
        <w:t>污、鏽蝕、破損，外觀上明顯失去原效用之車輛。</w:t>
      </w:r>
    </w:p>
    <w:p w:rsidR="006467E6" w:rsidRPr="00127BCA" w:rsidRDefault="00B65632" w:rsidP="00481433">
      <w:pPr>
        <w:tabs>
          <w:tab w:val="left" w:pos="960"/>
          <w:tab w:val="left" w:pos="1440"/>
          <w:tab w:val="left" w:pos="1800"/>
          <w:tab w:val="left" w:pos="2040"/>
          <w:tab w:val="left" w:pos="7680"/>
          <w:tab w:val="left" w:pos="9480"/>
          <w:tab w:val="left" w:pos="11520"/>
          <w:tab w:val="left" w:pos="12480"/>
        </w:tabs>
        <w:autoSpaceDE w:val="0"/>
        <w:autoSpaceDN w:val="0"/>
        <w:spacing w:line="240" w:lineRule="auto"/>
        <w:ind w:right="238" w:firstLine="851"/>
        <w:rPr>
          <w:rFonts w:ascii="標楷體" w:eastAsia="標楷體"/>
        </w:rPr>
      </w:pPr>
      <w:r w:rsidRPr="00127BCA">
        <w:rPr>
          <w:rFonts w:ascii="標楷體" w:eastAsia="標楷體"/>
        </w:rPr>
        <w:t>3.</w:t>
      </w:r>
      <w:r w:rsidRPr="00127BCA">
        <w:rPr>
          <w:rFonts w:ascii="標楷體" w:eastAsia="標楷體" w:hint="eastAsia"/>
        </w:rPr>
        <w:t>失去原效用之事故車、解體車。</w:t>
      </w:r>
    </w:p>
    <w:p w:rsidR="006467E6" w:rsidRPr="00127BCA" w:rsidRDefault="00B65632" w:rsidP="00481433">
      <w:pPr>
        <w:tabs>
          <w:tab w:val="left" w:pos="960"/>
          <w:tab w:val="left" w:pos="1440"/>
          <w:tab w:val="left" w:pos="1800"/>
          <w:tab w:val="left" w:pos="2040"/>
          <w:tab w:val="left" w:pos="7680"/>
          <w:tab w:val="left" w:pos="9480"/>
          <w:tab w:val="left" w:pos="11520"/>
          <w:tab w:val="left" w:pos="12480"/>
        </w:tabs>
        <w:autoSpaceDE w:val="0"/>
        <w:autoSpaceDN w:val="0"/>
        <w:spacing w:line="240" w:lineRule="auto"/>
        <w:ind w:right="238" w:firstLine="851"/>
        <w:rPr>
          <w:rFonts w:ascii="標楷體" w:eastAsia="標楷體"/>
        </w:rPr>
      </w:pPr>
      <w:r w:rsidRPr="00127BCA">
        <w:rPr>
          <w:rFonts w:ascii="標楷體" w:eastAsia="標楷體"/>
        </w:rPr>
        <w:t>4.</w:t>
      </w:r>
      <w:r w:rsidRPr="00127BCA">
        <w:rPr>
          <w:rFonts w:ascii="標楷體" w:eastAsia="標楷體" w:hint="eastAsia"/>
        </w:rPr>
        <w:t>其他符合經行政院環境保護署會商相關機關公告認定</w:t>
      </w:r>
      <w:r w:rsidR="00DE4C12" w:rsidRPr="00127BCA">
        <w:rPr>
          <w:rFonts w:ascii="標楷體" w:eastAsia="標楷體" w:hint="eastAsia"/>
        </w:rPr>
        <w:t>基</w:t>
      </w:r>
      <w:r w:rsidRPr="00127BCA">
        <w:rPr>
          <w:rFonts w:ascii="標楷體" w:eastAsia="標楷體" w:hint="eastAsia"/>
        </w:rPr>
        <w:t>準之車輛。</w:t>
      </w:r>
    </w:p>
    <w:p w:rsidR="00DE4C12" w:rsidRPr="00127BCA" w:rsidRDefault="00CD519A" w:rsidP="005D180C">
      <w:pPr>
        <w:tabs>
          <w:tab w:val="left" w:pos="960"/>
          <w:tab w:val="left" w:pos="1440"/>
          <w:tab w:val="left" w:pos="1800"/>
          <w:tab w:val="left" w:pos="2040"/>
          <w:tab w:val="left" w:pos="7680"/>
          <w:tab w:val="left" w:pos="9480"/>
          <w:tab w:val="left" w:pos="11520"/>
          <w:tab w:val="left" w:pos="12480"/>
        </w:tabs>
        <w:autoSpaceDE w:val="0"/>
        <w:autoSpaceDN w:val="0"/>
        <w:spacing w:line="240" w:lineRule="auto"/>
        <w:ind w:left="840" w:right="238" w:hangingChars="350" w:hanging="840"/>
        <w:rPr>
          <w:rFonts w:ascii="標楷體" w:eastAsia="標楷體"/>
        </w:rPr>
      </w:pPr>
      <w:r w:rsidRPr="00127BCA">
        <w:rPr>
          <w:rFonts w:ascii="標楷體" w:eastAsia="標楷體" w:hint="eastAsia"/>
        </w:rPr>
        <w:t xml:space="preserve">   </w:t>
      </w:r>
      <w:r w:rsidR="004E77A6" w:rsidRPr="00127BCA">
        <w:rPr>
          <w:rFonts w:ascii="標楷體" w:eastAsia="標楷體" w:hint="eastAsia"/>
        </w:rPr>
        <w:t>(三)</w:t>
      </w:r>
      <w:r w:rsidR="003E0B36" w:rsidRPr="00127BCA">
        <w:rPr>
          <w:rFonts w:ascii="標楷體" w:eastAsia="標楷體" w:hint="eastAsia"/>
        </w:rPr>
        <w:t>查</w:t>
      </w:r>
      <w:r w:rsidR="003E0B36" w:rsidRPr="00127BCA">
        <w:rPr>
          <w:rFonts w:ascii="標楷體" w:eastAsia="標楷體"/>
        </w:rPr>
        <w:t>(</w:t>
      </w:r>
      <w:r w:rsidR="003E0B36" w:rsidRPr="00127BCA">
        <w:rPr>
          <w:rFonts w:ascii="標楷體" w:eastAsia="標楷體" w:hint="eastAsia"/>
        </w:rPr>
        <w:t>通)報數：指環保單位或警政單位接獲０８００專線通報、民眾檢舉及主動稽查之疑似廢機動車輛之數量。</w:t>
      </w:r>
    </w:p>
    <w:p w:rsidR="00AD0DA9" w:rsidRPr="00127BCA" w:rsidRDefault="00CD519A" w:rsidP="00AD0DA9">
      <w:pPr>
        <w:tabs>
          <w:tab w:val="left" w:pos="960"/>
          <w:tab w:val="left" w:pos="1920"/>
          <w:tab w:val="left" w:pos="2880"/>
          <w:tab w:val="left" w:pos="3840"/>
          <w:tab w:val="left" w:pos="4800"/>
          <w:tab w:val="left" w:pos="5760"/>
          <w:tab w:val="left" w:pos="6720"/>
          <w:tab w:val="left" w:pos="7680"/>
          <w:tab w:val="left" w:pos="9480"/>
          <w:tab w:val="left" w:pos="11520"/>
          <w:tab w:val="left" w:pos="12480"/>
        </w:tabs>
        <w:autoSpaceDE w:val="0"/>
        <w:autoSpaceDN w:val="0"/>
        <w:spacing w:line="240" w:lineRule="auto"/>
        <w:ind w:right="240"/>
        <w:rPr>
          <w:rFonts w:ascii="標楷體" w:eastAsia="標楷體"/>
        </w:rPr>
      </w:pPr>
      <w:r w:rsidRPr="00127BCA">
        <w:rPr>
          <w:rFonts w:ascii="標楷體" w:eastAsia="標楷體" w:hint="eastAsia"/>
        </w:rPr>
        <w:t xml:space="preserve">  </w:t>
      </w:r>
      <w:r w:rsidR="00AD0DA9" w:rsidRPr="00127BCA">
        <w:rPr>
          <w:rFonts w:ascii="標楷體" w:eastAsia="標楷體" w:hint="eastAsia"/>
        </w:rPr>
        <w:t xml:space="preserve"> (四)</w:t>
      </w:r>
      <w:r w:rsidR="003E0B36" w:rsidRPr="00127BCA">
        <w:rPr>
          <w:rFonts w:ascii="標楷體" w:eastAsia="標楷體" w:hint="eastAsia"/>
        </w:rPr>
        <w:t>現場查核數：指環保單位或警政單位至疑似廢機動車輛停放現場查核數。</w:t>
      </w:r>
    </w:p>
    <w:p w:rsidR="006467E6" w:rsidRPr="00127BCA" w:rsidRDefault="00CD519A">
      <w:pPr>
        <w:tabs>
          <w:tab w:val="left" w:pos="960"/>
          <w:tab w:val="left" w:pos="1920"/>
          <w:tab w:val="left" w:pos="2880"/>
          <w:tab w:val="left" w:pos="3840"/>
          <w:tab w:val="left" w:pos="4800"/>
          <w:tab w:val="left" w:pos="5760"/>
          <w:tab w:val="left" w:pos="6720"/>
          <w:tab w:val="left" w:pos="7680"/>
          <w:tab w:val="left" w:pos="9480"/>
          <w:tab w:val="left" w:pos="11520"/>
          <w:tab w:val="left" w:pos="12480"/>
        </w:tabs>
        <w:autoSpaceDE w:val="0"/>
        <w:autoSpaceDN w:val="0"/>
        <w:spacing w:line="240" w:lineRule="auto"/>
        <w:ind w:right="240"/>
        <w:rPr>
          <w:rFonts w:ascii="標楷體" w:eastAsia="標楷體"/>
        </w:rPr>
      </w:pPr>
      <w:r w:rsidRPr="00127BCA">
        <w:rPr>
          <w:rFonts w:ascii="標楷體" w:eastAsia="標楷體" w:hint="eastAsia"/>
        </w:rPr>
        <w:t xml:space="preserve">   </w:t>
      </w:r>
      <w:r w:rsidR="00B65632" w:rsidRPr="00127BCA">
        <w:rPr>
          <w:rFonts w:ascii="標楷體" w:eastAsia="標楷體" w:hint="eastAsia"/>
        </w:rPr>
        <w:t>(</w:t>
      </w:r>
      <w:r w:rsidR="00AD0DA9" w:rsidRPr="00127BCA">
        <w:rPr>
          <w:rFonts w:ascii="標楷體" w:eastAsia="標楷體" w:hint="eastAsia"/>
        </w:rPr>
        <w:t>五</w:t>
      </w:r>
      <w:r w:rsidR="00B65632" w:rsidRPr="00127BCA">
        <w:rPr>
          <w:rFonts w:ascii="標楷體" w:eastAsia="標楷體" w:hint="eastAsia"/>
        </w:rPr>
        <w:t>)</w:t>
      </w:r>
      <w:r w:rsidR="003E0B36" w:rsidRPr="00127BCA">
        <w:rPr>
          <w:rFonts w:ascii="標楷體" w:eastAsia="標楷體" w:hint="eastAsia"/>
        </w:rPr>
        <w:t>張貼通知數：指疑似廢機動車輛由環保單位或警政單位人員認定並張貼清理通知數。</w:t>
      </w:r>
    </w:p>
    <w:p w:rsidR="006467E6" w:rsidRPr="00127BCA" w:rsidRDefault="00CD519A" w:rsidP="003E0B36">
      <w:pPr>
        <w:tabs>
          <w:tab w:val="left" w:pos="960"/>
          <w:tab w:val="left" w:pos="1920"/>
          <w:tab w:val="left" w:pos="2880"/>
          <w:tab w:val="left" w:pos="3840"/>
          <w:tab w:val="left" w:pos="4800"/>
          <w:tab w:val="left" w:pos="5760"/>
          <w:tab w:val="left" w:pos="6720"/>
          <w:tab w:val="left" w:pos="7680"/>
          <w:tab w:val="left" w:pos="9480"/>
          <w:tab w:val="left" w:pos="11520"/>
          <w:tab w:val="left" w:pos="12480"/>
        </w:tabs>
        <w:autoSpaceDE w:val="0"/>
        <w:autoSpaceDN w:val="0"/>
        <w:spacing w:line="240" w:lineRule="auto"/>
        <w:ind w:left="840" w:right="238" w:hangingChars="350" w:hanging="840"/>
        <w:rPr>
          <w:rFonts w:ascii="標楷體" w:eastAsia="標楷體"/>
        </w:rPr>
      </w:pPr>
      <w:r w:rsidRPr="00127BCA">
        <w:rPr>
          <w:rFonts w:ascii="標楷體" w:eastAsia="標楷體" w:hint="eastAsia"/>
        </w:rPr>
        <w:t xml:space="preserve">　 </w:t>
      </w:r>
      <w:r w:rsidR="00B65632" w:rsidRPr="00127BCA">
        <w:rPr>
          <w:rFonts w:ascii="標楷體" w:eastAsia="標楷體"/>
        </w:rPr>
        <w:t>(</w:t>
      </w:r>
      <w:r w:rsidR="00AD0DA9" w:rsidRPr="00127BCA">
        <w:rPr>
          <w:rFonts w:ascii="標楷體" w:eastAsia="標楷體" w:hint="eastAsia"/>
        </w:rPr>
        <w:t>六</w:t>
      </w:r>
      <w:r w:rsidR="00B65632" w:rsidRPr="00127BCA">
        <w:rPr>
          <w:rFonts w:ascii="標楷體" w:eastAsia="標楷體"/>
        </w:rPr>
        <w:t>)</w:t>
      </w:r>
      <w:r w:rsidR="003E0B36" w:rsidRPr="00127BCA">
        <w:rPr>
          <w:rFonts w:ascii="標楷體" w:eastAsia="標楷體" w:hint="eastAsia"/>
        </w:rPr>
        <w:t>完成</w:t>
      </w:r>
      <w:proofErr w:type="gramStart"/>
      <w:r w:rsidR="003E0B36" w:rsidRPr="00127BCA">
        <w:rPr>
          <w:rFonts w:ascii="標楷體" w:eastAsia="標楷體" w:hint="eastAsia"/>
        </w:rPr>
        <w:t>移置數</w:t>
      </w:r>
      <w:proofErr w:type="gramEnd"/>
      <w:r w:rsidR="003E0B36" w:rsidRPr="00127BCA">
        <w:rPr>
          <w:rFonts w:ascii="標楷體" w:eastAsia="標楷體" w:hint="eastAsia"/>
        </w:rPr>
        <w:t>：指疑似廢機動車輛由環保單位或警政單位人員認定並張貼清理通知，清理期限屆滿仍無人清理或認領，由環保單位先行</w:t>
      </w:r>
      <w:proofErr w:type="gramStart"/>
      <w:r w:rsidR="003E0B36" w:rsidRPr="00127BCA">
        <w:rPr>
          <w:rFonts w:ascii="標楷體" w:eastAsia="標楷體" w:hint="eastAsia"/>
        </w:rPr>
        <w:t>移置至指定</w:t>
      </w:r>
      <w:proofErr w:type="gramEnd"/>
      <w:r w:rsidR="003E0B36" w:rsidRPr="00127BCA">
        <w:rPr>
          <w:rFonts w:ascii="標楷體" w:eastAsia="標楷體" w:hint="eastAsia"/>
        </w:rPr>
        <w:t>場所之數量。</w:t>
      </w:r>
    </w:p>
    <w:p w:rsidR="006467E6" w:rsidRPr="00127BCA" w:rsidRDefault="00AD0DA9" w:rsidP="00AE4FF4">
      <w:pPr>
        <w:tabs>
          <w:tab w:val="left" w:pos="960"/>
          <w:tab w:val="left" w:pos="1920"/>
          <w:tab w:val="left" w:pos="2880"/>
          <w:tab w:val="left" w:pos="3840"/>
          <w:tab w:val="left" w:pos="4800"/>
          <w:tab w:val="left" w:pos="5760"/>
          <w:tab w:val="left" w:pos="6720"/>
          <w:tab w:val="left" w:pos="7680"/>
          <w:tab w:val="left" w:pos="9480"/>
          <w:tab w:val="left" w:pos="11520"/>
          <w:tab w:val="left" w:pos="12480"/>
        </w:tabs>
        <w:autoSpaceDE w:val="0"/>
        <w:autoSpaceDN w:val="0"/>
        <w:spacing w:line="240" w:lineRule="auto"/>
        <w:ind w:left="964" w:right="238" w:hanging="964"/>
        <w:rPr>
          <w:rFonts w:ascii="標楷體" w:eastAsia="標楷體"/>
        </w:rPr>
      </w:pPr>
      <w:r w:rsidRPr="00127BCA">
        <w:rPr>
          <w:rFonts w:ascii="標楷體" w:eastAsia="標楷體"/>
        </w:rPr>
        <w:t xml:space="preserve"> </w:t>
      </w:r>
      <w:r w:rsidRPr="00127BCA">
        <w:rPr>
          <w:rFonts w:ascii="標楷體" w:eastAsia="標楷體" w:hint="eastAsia"/>
        </w:rPr>
        <w:t xml:space="preserve">  </w:t>
      </w:r>
      <w:r w:rsidR="00B65632" w:rsidRPr="00127BCA">
        <w:rPr>
          <w:rFonts w:ascii="標楷體" w:eastAsia="標楷體" w:hint="eastAsia"/>
        </w:rPr>
        <w:t>(</w:t>
      </w:r>
      <w:r w:rsidR="003E0B36" w:rsidRPr="00127BCA">
        <w:rPr>
          <w:rFonts w:ascii="標楷體" w:eastAsia="標楷體" w:hint="eastAsia"/>
        </w:rPr>
        <w:t>七</w:t>
      </w:r>
      <w:r w:rsidR="00B65632" w:rsidRPr="00127BCA">
        <w:rPr>
          <w:rFonts w:ascii="標楷體" w:eastAsia="標楷體" w:hint="eastAsia"/>
        </w:rPr>
        <w:t>)無法完成</w:t>
      </w:r>
      <w:proofErr w:type="gramStart"/>
      <w:r w:rsidR="00B65632" w:rsidRPr="00127BCA">
        <w:rPr>
          <w:rFonts w:ascii="標楷體" w:eastAsia="標楷體" w:hint="eastAsia"/>
        </w:rPr>
        <w:t>移置</w:t>
      </w:r>
      <w:r w:rsidR="00AE4FF4" w:rsidRPr="00127BCA">
        <w:rPr>
          <w:rFonts w:ascii="標楷體" w:eastAsia="標楷體" w:hint="eastAsia"/>
        </w:rPr>
        <w:t>數</w:t>
      </w:r>
      <w:proofErr w:type="gramEnd"/>
      <w:r w:rsidR="00B65632" w:rsidRPr="00127BCA">
        <w:rPr>
          <w:rFonts w:ascii="標楷體" w:eastAsia="標楷體" w:hint="eastAsia"/>
        </w:rPr>
        <w:t>：指環保單位因故致無法執行</w:t>
      </w:r>
      <w:proofErr w:type="gramStart"/>
      <w:r w:rsidR="00B65632" w:rsidRPr="00127BCA">
        <w:rPr>
          <w:rFonts w:ascii="標楷體" w:eastAsia="標楷體" w:hint="eastAsia"/>
        </w:rPr>
        <w:t>移置廢機動車輛</w:t>
      </w:r>
      <w:proofErr w:type="gramEnd"/>
      <w:r w:rsidR="00AE4FF4" w:rsidRPr="00127BCA">
        <w:rPr>
          <w:rFonts w:ascii="標楷體" w:eastAsia="標楷體" w:hint="eastAsia"/>
        </w:rPr>
        <w:t>之數量</w:t>
      </w:r>
      <w:r w:rsidR="00B65632" w:rsidRPr="00127BCA">
        <w:rPr>
          <w:rFonts w:ascii="標楷體" w:eastAsia="標楷體" w:hint="eastAsia"/>
        </w:rPr>
        <w:t>，原因包括：</w:t>
      </w:r>
    </w:p>
    <w:p w:rsidR="006467E6" w:rsidRPr="00127BCA" w:rsidRDefault="00AD0DA9" w:rsidP="00AD0DA9">
      <w:pPr>
        <w:tabs>
          <w:tab w:val="left" w:pos="960"/>
          <w:tab w:val="left" w:pos="1920"/>
          <w:tab w:val="left" w:pos="2040"/>
          <w:tab w:val="left" w:pos="3840"/>
          <w:tab w:val="left" w:pos="4800"/>
          <w:tab w:val="left" w:pos="5760"/>
          <w:tab w:val="left" w:pos="6720"/>
          <w:tab w:val="left" w:pos="7680"/>
          <w:tab w:val="left" w:pos="9480"/>
          <w:tab w:val="left" w:pos="11520"/>
          <w:tab w:val="left" w:pos="12480"/>
        </w:tabs>
        <w:autoSpaceDE w:val="0"/>
        <w:autoSpaceDN w:val="0"/>
        <w:spacing w:line="240" w:lineRule="auto"/>
        <w:ind w:right="240"/>
        <w:rPr>
          <w:rFonts w:ascii="標楷體" w:eastAsia="標楷體"/>
        </w:rPr>
      </w:pPr>
      <w:r w:rsidRPr="00127BCA">
        <w:rPr>
          <w:rFonts w:ascii="標楷體" w:eastAsia="標楷體" w:hint="eastAsia"/>
        </w:rPr>
        <w:t xml:space="preserve">        </w:t>
      </w:r>
      <w:r w:rsidR="00B65632" w:rsidRPr="00127BCA">
        <w:rPr>
          <w:rFonts w:ascii="標楷體" w:eastAsia="標楷體"/>
        </w:rPr>
        <w:t>1.</w:t>
      </w:r>
      <w:r w:rsidR="00B65632" w:rsidRPr="00127BCA">
        <w:rPr>
          <w:rFonts w:ascii="標楷體" w:eastAsia="標楷體" w:hint="eastAsia"/>
        </w:rPr>
        <w:t>偵查中交通事故車輛。</w:t>
      </w:r>
    </w:p>
    <w:p w:rsidR="006467E6" w:rsidRPr="00127BCA" w:rsidRDefault="00AD0DA9" w:rsidP="00AD0DA9">
      <w:pPr>
        <w:tabs>
          <w:tab w:val="left" w:pos="960"/>
          <w:tab w:val="left" w:pos="1920"/>
          <w:tab w:val="left" w:pos="2040"/>
          <w:tab w:val="left" w:pos="3840"/>
          <w:tab w:val="left" w:pos="4800"/>
          <w:tab w:val="left" w:pos="5760"/>
          <w:tab w:val="left" w:pos="6720"/>
          <w:tab w:val="left" w:pos="7680"/>
          <w:tab w:val="left" w:pos="9480"/>
          <w:tab w:val="left" w:pos="11520"/>
          <w:tab w:val="left" w:pos="12480"/>
        </w:tabs>
        <w:autoSpaceDE w:val="0"/>
        <w:autoSpaceDN w:val="0"/>
        <w:spacing w:line="240" w:lineRule="auto"/>
        <w:ind w:right="240"/>
        <w:rPr>
          <w:rFonts w:ascii="標楷體" w:eastAsia="標楷體"/>
        </w:rPr>
      </w:pPr>
      <w:r w:rsidRPr="00127BCA">
        <w:rPr>
          <w:rFonts w:ascii="標楷體" w:eastAsia="標楷體" w:hint="eastAsia"/>
        </w:rPr>
        <w:t xml:space="preserve">        </w:t>
      </w:r>
      <w:r w:rsidR="00B65632" w:rsidRPr="00127BCA">
        <w:rPr>
          <w:rFonts w:ascii="標楷體" w:eastAsia="標楷體"/>
        </w:rPr>
        <w:t>2.</w:t>
      </w:r>
      <w:r w:rsidR="00B65632" w:rsidRPr="00127BCA">
        <w:rPr>
          <w:rFonts w:ascii="標楷體" w:eastAsia="標楷體" w:hint="eastAsia"/>
        </w:rPr>
        <w:t>地址或牌照號碼、車體特徵不符。</w:t>
      </w:r>
    </w:p>
    <w:p w:rsidR="006467E6" w:rsidRPr="00127BCA" w:rsidRDefault="00AD0DA9" w:rsidP="00AD0DA9">
      <w:pPr>
        <w:tabs>
          <w:tab w:val="left" w:pos="960"/>
          <w:tab w:val="left" w:pos="1920"/>
          <w:tab w:val="left" w:pos="2040"/>
          <w:tab w:val="left" w:pos="3840"/>
          <w:tab w:val="left" w:pos="4800"/>
          <w:tab w:val="left" w:pos="5760"/>
          <w:tab w:val="left" w:pos="6720"/>
          <w:tab w:val="left" w:pos="7680"/>
          <w:tab w:val="left" w:pos="9480"/>
          <w:tab w:val="left" w:pos="11520"/>
          <w:tab w:val="left" w:pos="12480"/>
        </w:tabs>
        <w:autoSpaceDE w:val="0"/>
        <w:autoSpaceDN w:val="0"/>
        <w:spacing w:line="240" w:lineRule="auto"/>
        <w:ind w:right="240"/>
        <w:rPr>
          <w:rFonts w:ascii="標楷體" w:eastAsia="標楷體"/>
        </w:rPr>
      </w:pPr>
      <w:r w:rsidRPr="00127BCA">
        <w:rPr>
          <w:rFonts w:ascii="標楷體" w:eastAsia="標楷體" w:hint="eastAsia"/>
        </w:rPr>
        <w:t xml:space="preserve">        </w:t>
      </w:r>
      <w:r w:rsidR="00B65632" w:rsidRPr="00127BCA">
        <w:rPr>
          <w:rFonts w:ascii="標楷體" w:eastAsia="標楷體"/>
        </w:rPr>
        <w:t>3.</w:t>
      </w:r>
      <w:r w:rsidR="00B65632" w:rsidRPr="00127BCA">
        <w:rPr>
          <w:rFonts w:ascii="標楷體" w:eastAsia="標楷體" w:hint="eastAsia"/>
        </w:rPr>
        <w:t>移置時查無車輛(</w:t>
      </w:r>
      <w:proofErr w:type="gramStart"/>
      <w:r w:rsidR="00B65632" w:rsidRPr="00127BCA">
        <w:rPr>
          <w:rFonts w:ascii="標楷體" w:eastAsia="標楷體" w:hint="eastAsia"/>
        </w:rPr>
        <w:t>含遭竊</w:t>
      </w:r>
      <w:proofErr w:type="gramEnd"/>
      <w:r w:rsidR="00B65632" w:rsidRPr="00127BCA">
        <w:rPr>
          <w:rFonts w:ascii="標楷體" w:eastAsia="標楷體" w:hint="eastAsia"/>
        </w:rPr>
        <w:t>車)。</w:t>
      </w:r>
    </w:p>
    <w:p w:rsidR="006467E6" w:rsidRPr="00127BCA" w:rsidRDefault="00AD0DA9" w:rsidP="00AD0DA9">
      <w:pPr>
        <w:tabs>
          <w:tab w:val="left" w:pos="960"/>
          <w:tab w:val="left" w:pos="1920"/>
          <w:tab w:val="left" w:pos="2040"/>
          <w:tab w:val="left" w:pos="3840"/>
          <w:tab w:val="left" w:pos="4800"/>
          <w:tab w:val="left" w:pos="5760"/>
          <w:tab w:val="left" w:pos="6720"/>
          <w:tab w:val="left" w:pos="7680"/>
          <w:tab w:val="left" w:pos="9480"/>
          <w:tab w:val="left" w:pos="11520"/>
          <w:tab w:val="left" w:pos="12480"/>
        </w:tabs>
        <w:autoSpaceDE w:val="0"/>
        <w:autoSpaceDN w:val="0"/>
        <w:spacing w:line="240" w:lineRule="auto"/>
        <w:ind w:right="240"/>
        <w:rPr>
          <w:rFonts w:ascii="標楷體" w:eastAsia="標楷體"/>
        </w:rPr>
      </w:pPr>
      <w:r w:rsidRPr="00127BCA">
        <w:rPr>
          <w:rFonts w:ascii="標楷體" w:eastAsia="標楷體" w:hint="eastAsia"/>
        </w:rPr>
        <w:t xml:space="preserve">        </w:t>
      </w:r>
      <w:r w:rsidR="00B65632" w:rsidRPr="00127BCA">
        <w:rPr>
          <w:rFonts w:ascii="標楷體" w:eastAsia="標楷體"/>
        </w:rPr>
        <w:t>4.</w:t>
      </w:r>
      <w:r w:rsidR="00B65632" w:rsidRPr="00127BCA">
        <w:rPr>
          <w:rFonts w:ascii="標楷體" w:eastAsia="標楷體" w:hint="eastAsia"/>
        </w:rPr>
        <w:t>車主自移等。</w:t>
      </w:r>
    </w:p>
    <w:p w:rsidR="006467E6" w:rsidRPr="00127BCA" w:rsidRDefault="00B65632" w:rsidP="005D180C">
      <w:pPr>
        <w:tabs>
          <w:tab w:val="left" w:pos="960"/>
          <w:tab w:val="left" w:pos="1440"/>
          <w:tab w:val="left" w:pos="1800"/>
          <w:tab w:val="left" w:pos="2040"/>
          <w:tab w:val="left" w:pos="7680"/>
          <w:tab w:val="left" w:pos="9480"/>
          <w:tab w:val="left" w:pos="11520"/>
          <w:tab w:val="left" w:pos="12480"/>
        </w:tabs>
        <w:autoSpaceDE w:val="0"/>
        <w:autoSpaceDN w:val="0"/>
        <w:spacing w:line="240" w:lineRule="auto"/>
        <w:ind w:right="238"/>
        <w:rPr>
          <w:rFonts w:ascii="標楷體" w:eastAsia="標楷體"/>
        </w:rPr>
      </w:pPr>
      <w:r w:rsidRPr="00127BCA">
        <w:rPr>
          <w:rFonts w:ascii="標楷體" w:eastAsia="標楷體" w:hint="eastAsia"/>
        </w:rPr>
        <w:lastRenderedPageBreak/>
        <w:t>五、資料蒐集方法及編製程序：</w:t>
      </w:r>
      <w:bookmarkStart w:id="0" w:name="_GoBack"/>
      <w:bookmarkEnd w:id="0"/>
    </w:p>
    <w:p w:rsidR="006467E6" w:rsidRPr="00127BCA" w:rsidRDefault="00B65632">
      <w:pPr>
        <w:tabs>
          <w:tab w:val="left" w:pos="600"/>
          <w:tab w:val="left" w:pos="1920"/>
          <w:tab w:val="left" w:pos="2880"/>
          <w:tab w:val="left" w:pos="3840"/>
          <w:tab w:val="left" w:pos="4800"/>
          <w:tab w:val="left" w:pos="5760"/>
          <w:tab w:val="left" w:pos="6720"/>
          <w:tab w:val="left" w:pos="7680"/>
          <w:tab w:val="left" w:pos="9480"/>
          <w:tab w:val="left" w:pos="11520"/>
          <w:tab w:val="left" w:pos="12480"/>
        </w:tabs>
        <w:autoSpaceDE w:val="0"/>
        <w:autoSpaceDN w:val="0"/>
        <w:spacing w:line="240" w:lineRule="auto"/>
        <w:ind w:right="240"/>
        <w:rPr>
          <w:rFonts w:ascii="標楷體" w:eastAsia="標楷體"/>
        </w:rPr>
      </w:pPr>
      <w:r w:rsidRPr="00127BCA">
        <w:rPr>
          <w:rFonts w:ascii="標楷體" w:eastAsia="標楷體" w:hint="eastAsia"/>
        </w:rPr>
        <w:t xml:space="preserve">    依據本縣（市）環境保護局及警察局查報、張貼通知</w:t>
      </w:r>
      <w:r w:rsidR="005D180C" w:rsidRPr="00127BCA">
        <w:rPr>
          <w:rFonts w:ascii="標楷體" w:eastAsia="標楷體" w:hint="eastAsia"/>
        </w:rPr>
        <w:t>及</w:t>
      </w:r>
      <w:proofErr w:type="gramStart"/>
      <w:r w:rsidRPr="00127BCA">
        <w:rPr>
          <w:rFonts w:ascii="標楷體" w:eastAsia="標楷體" w:hint="eastAsia"/>
        </w:rPr>
        <w:t>移置廢機動車輛</w:t>
      </w:r>
      <w:proofErr w:type="gramEnd"/>
      <w:r w:rsidRPr="00127BCA">
        <w:rPr>
          <w:rFonts w:ascii="標楷體" w:eastAsia="標楷體" w:hint="eastAsia"/>
        </w:rPr>
        <w:t>資料編製。</w:t>
      </w:r>
    </w:p>
    <w:p w:rsidR="006467E6" w:rsidRPr="00127BCA" w:rsidRDefault="00B65632">
      <w:pPr>
        <w:tabs>
          <w:tab w:val="left" w:pos="960"/>
          <w:tab w:val="left" w:pos="1920"/>
          <w:tab w:val="left" w:pos="2880"/>
          <w:tab w:val="left" w:pos="3840"/>
          <w:tab w:val="left" w:pos="4800"/>
          <w:tab w:val="left" w:pos="5760"/>
          <w:tab w:val="left" w:pos="6720"/>
          <w:tab w:val="left" w:pos="7680"/>
          <w:tab w:val="left" w:pos="9480"/>
          <w:tab w:val="left" w:pos="11520"/>
          <w:tab w:val="left" w:pos="12480"/>
        </w:tabs>
        <w:autoSpaceDE w:val="0"/>
        <w:autoSpaceDN w:val="0"/>
        <w:spacing w:line="240" w:lineRule="auto"/>
        <w:ind w:left="454" w:right="238" w:hanging="454"/>
        <w:rPr>
          <w:rFonts w:ascii="標楷體" w:eastAsia="標楷體"/>
        </w:rPr>
      </w:pPr>
      <w:r w:rsidRPr="00127BCA">
        <w:rPr>
          <w:rFonts w:ascii="標楷體" w:eastAsia="標楷體" w:hint="eastAsia"/>
        </w:rPr>
        <w:t>六、編送對象：</w:t>
      </w:r>
      <w:proofErr w:type="gramStart"/>
      <w:r w:rsidRPr="00127BCA">
        <w:rPr>
          <w:rFonts w:ascii="標楷體" w:eastAsia="標楷體" w:hint="eastAsia"/>
        </w:rPr>
        <w:t>本表編製</w:t>
      </w:r>
      <w:proofErr w:type="gramEnd"/>
      <w:r w:rsidRPr="00127BCA">
        <w:rPr>
          <w:rFonts w:ascii="標楷體" w:eastAsia="標楷體" w:hint="eastAsia"/>
        </w:rPr>
        <w:t>1式5份，1份送會計單位，1份自存，1送縣（市）政府主計</w:t>
      </w:r>
      <w:r w:rsidR="00A10E2F" w:rsidRPr="00127BCA">
        <w:rPr>
          <w:rFonts w:ascii="標楷體" w:eastAsia="標楷體" w:hint="eastAsia"/>
        </w:rPr>
        <w:t>處</w:t>
      </w:r>
      <w:r w:rsidRPr="00127BCA">
        <w:rPr>
          <w:rFonts w:ascii="標楷體" w:eastAsia="標楷體" w:hint="eastAsia"/>
        </w:rPr>
        <w:t>，1份送縣（市）政府警察局，1份送行政院環境保護署統計室。</w:t>
      </w:r>
    </w:p>
    <w:p w:rsidR="00B65632" w:rsidRPr="00127BCA" w:rsidRDefault="00B65632">
      <w:pPr>
        <w:tabs>
          <w:tab w:val="left" w:pos="960"/>
          <w:tab w:val="left" w:pos="1920"/>
          <w:tab w:val="left" w:pos="2880"/>
          <w:tab w:val="left" w:pos="3840"/>
          <w:tab w:val="left" w:pos="4800"/>
          <w:tab w:val="left" w:pos="5760"/>
          <w:tab w:val="left" w:pos="6720"/>
          <w:tab w:val="left" w:pos="7680"/>
          <w:tab w:val="left" w:pos="9480"/>
          <w:tab w:val="left" w:pos="11520"/>
          <w:tab w:val="left" w:pos="12480"/>
        </w:tabs>
        <w:autoSpaceDE w:val="0"/>
        <w:autoSpaceDN w:val="0"/>
        <w:spacing w:line="240" w:lineRule="auto"/>
        <w:ind w:right="240"/>
        <w:rPr>
          <w:rFonts w:ascii="標楷體" w:eastAsia="標楷體"/>
        </w:rPr>
      </w:pPr>
      <w:r w:rsidRPr="00127BCA">
        <w:rPr>
          <w:rFonts w:ascii="標楷體" w:eastAsia="標楷體"/>
        </w:rPr>
        <w:t xml:space="preserve">  </w:t>
      </w:r>
    </w:p>
    <w:sectPr w:rsidR="00B65632" w:rsidRPr="00127BCA">
      <w:pgSz w:w="16840" w:h="11907" w:orient="landscape" w:code="9"/>
      <w:pgMar w:top="1134" w:right="1134" w:bottom="1134" w:left="1134" w:header="851" w:footer="851"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54" w:rsidRDefault="00C56954" w:rsidP="00CC6BD6">
      <w:pPr>
        <w:spacing w:line="240" w:lineRule="auto"/>
      </w:pPr>
      <w:r>
        <w:separator/>
      </w:r>
    </w:p>
  </w:endnote>
  <w:endnote w:type="continuationSeparator" w:id="0">
    <w:p w:rsidR="00C56954" w:rsidRDefault="00C56954" w:rsidP="00CC6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54" w:rsidRDefault="00C56954" w:rsidP="00CC6BD6">
      <w:pPr>
        <w:spacing w:line="240" w:lineRule="auto"/>
      </w:pPr>
      <w:r>
        <w:separator/>
      </w:r>
    </w:p>
  </w:footnote>
  <w:footnote w:type="continuationSeparator" w:id="0">
    <w:p w:rsidR="00C56954" w:rsidRDefault="00C56954" w:rsidP="00CC6B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561C"/>
    <w:multiLevelType w:val="singleLevel"/>
    <w:tmpl w:val="0409000F"/>
    <w:lvl w:ilvl="0">
      <w:start w:val="1"/>
      <w:numFmt w:val="decimal"/>
      <w:lvlText w:val="%1."/>
      <w:lvlJc w:val="left"/>
      <w:pPr>
        <w:tabs>
          <w:tab w:val="num" w:pos="425"/>
        </w:tabs>
        <w:ind w:left="425" w:hanging="425"/>
      </w:pPr>
    </w:lvl>
  </w:abstractNum>
  <w:abstractNum w:abstractNumId="1">
    <w:nsid w:val="26844869"/>
    <w:multiLevelType w:val="singleLevel"/>
    <w:tmpl w:val="545CB49E"/>
    <w:lvl w:ilvl="0">
      <w:start w:val="4"/>
      <w:numFmt w:val="taiwaneseCountingThousand"/>
      <w:lvlText w:val="(%1)"/>
      <w:legacy w:legacy="1" w:legacySpace="0" w:legacyIndent="555"/>
      <w:lvlJc w:val="left"/>
      <w:pPr>
        <w:ind w:left="1410" w:hanging="555"/>
      </w:pPr>
      <w:rPr>
        <w:rFonts w:ascii="標楷體" w:eastAsia="標楷體" w:hint="eastAsia"/>
        <w:b w:val="0"/>
        <w:i w:val="0"/>
        <w:sz w:val="28"/>
        <w:u w:val="none"/>
      </w:rPr>
    </w:lvl>
  </w:abstractNum>
  <w:abstractNum w:abstractNumId="2">
    <w:nsid w:val="28061C11"/>
    <w:multiLevelType w:val="singleLevel"/>
    <w:tmpl w:val="BE565EB8"/>
    <w:lvl w:ilvl="0">
      <w:start w:val="1"/>
      <w:numFmt w:val="decimal"/>
      <w:lvlText w:val="%1."/>
      <w:lvlJc w:val="left"/>
      <w:pPr>
        <w:tabs>
          <w:tab w:val="num" w:pos="1695"/>
        </w:tabs>
        <w:ind w:left="1695" w:hanging="270"/>
      </w:pPr>
      <w:rPr>
        <w:rFonts w:hint="eastAsia"/>
      </w:rPr>
    </w:lvl>
  </w:abstractNum>
  <w:abstractNum w:abstractNumId="3">
    <w:nsid w:val="431657DB"/>
    <w:multiLevelType w:val="singleLevel"/>
    <w:tmpl w:val="4BE85F66"/>
    <w:lvl w:ilvl="0">
      <w:start w:val="5"/>
      <w:numFmt w:val="taiwaneseCountingThousand"/>
      <w:lvlText w:val="%1、"/>
      <w:legacy w:legacy="1" w:legacySpace="0" w:legacyIndent="570"/>
      <w:lvlJc w:val="left"/>
      <w:pPr>
        <w:ind w:left="854" w:hanging="570"/>
      </w:pPr>
      <w:rPr>
        <w:rFonts w:ascii="標楷體" w:eastAsia="標楷體" w:hint="eastAsia"/>
        <w:b w:val="0"/>
        <w:i w:val="0"/>
        <w:sz w:val="28"/>
        <w:u w:val="none"/>
      </w:rPr>
    </w:lvl>
  </w:abstractNum>
  <w:abstractNum w:abstractNumId="4">
    <w:nsid w:val="6DCD17DC"/>
    <w:multiLevelType w:val="singleLevel"/>
    <w:tmpl w:val="0409000F"/>
    <w:lvl w:ilvl="0">
      <w:start w:val="1"/>
      <w:numFmt w:val="decimal"/>
      <w:lvlText w:val="%1."/>
      <w:lvlJc w:val="left"/>
      <w:pPr>
        <w:tabs>
          <w:tab w:val="num" w:pos="425"/>
        </w:tabs>
        <w:ind w:left="425" w:hanging="425"/>
      </w:pPr>
    </w:lvl>
  </w:abstractNum>
  <w:abstractNum w:abstractNumId="5">
    <w:nsid w:val="72E62B2F"/>
    <w:multiLevelType w:val="singleLevel"/>
    <w:tmpl w:val="B7F819D6"/>
    <w:lvl w:ilvl="0">
      <w:start w:val="1"/>
      <w:numFmt w:val="decimal"/>
      <w:lvlText w:val="%1."/>
      <w:lvlJc w:val="left"/>
      <w:pPr>
        <w:tabs>
          <w:tab w:val="num" w:pos="1680"/>
        </w:tabs>
        <w:ind w:left="1680" w:hanging="270"/>
      </w:pPr>
      <w:rPr>
        <w:rFonts w:hint="eastAsia"/>
      </w:rPr>
    </w:lvl>
  </w:abstractNum>
  <w:num w:numId="1">
    <w:abstractNumId w:val="3"/>
  </w:num>
  <w:num w:numId="2">
    <w:abstractNumId w:val="3"/>
    <w:lvlOverride w:ilvl="0">
      <w:lvl w:ilvl="0">
        <w:start w:val="1"/>
        <w:numFmt w:val="taiwaneseCountingThousand"/>
        <w:lvlText w:val="%1、"/>
        <w:legacy w:legacy="1" w:legacySpace="0" w:legacyIndent="570"/>
        <w:lvlJc w:val="left"/>
        <w:pPr>
          <w:ind w:left="854" w:hanging="570"/>
        </w:pPr>
        <w:rPr>
          <w:rFonts w:ascii="標楷體" w:eastAsia="標楷體" w:hint="eastAsia"/>
          <w:b w:val="0"/>
          <w:i w:val="0"/>
          <w:sz w:val="28"/>
          <w:u w:val="none"/>
        </w:rPr>
      </w:lvl>
    </w:lvlOverride>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oNotHyphenateCaps/>
  <w:drawingGridHorizontalSpacing w:val="120"/>
  <w:drawingGridVerticalSpacing w:val="20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D6"/>
    <w:rsid w:val="00127BCA"/>
    <w:rsid w:val="0018222D"/>
    <w:rsid w:val="001823D7"/>
    <w:rsid w:val="00211A5A"/>
    <w:rsid w:val="00236891"/>
    <w:rsid w:val="00250650"/>
    <w:rsid w:val="002E3B54"/>
    <w:rsid w:val="002F5BA9"/>
    <w:rsid w:val="00336097"/>
    <w:rsid w:val="00356AF2"/>
    <w:rsid w:val="003C53A5"/>
    <w:rsid w:val="003D09A1"/>
    <w:rsid w:val="003D3A1E"/>
    <w:rsid w:val="003D6435"/>
    <w:rsid w:val="003E0B36"/>
    <w:rsid w:val="00455B86"/>
    <w:rsid w:val="00472925"/>
    <w:rsid w:val="00481433"/>
    <w:rsid w:val="004D3291"/>
    <w:rsid w:val="004E77A6"/>
    <w:rsid w:val="005909E0"/>
    <w:rsid w:val="005C7BD0"/>
    <w:rsid w:val="005D09A8"/>
    <w:rsid w:val="005D180C"/>
    <w:rsid w:val="0062237B"/>
    <w:rsid w:val="006359FA"/>
    <w:rsid w:val="006467E6"/>
    <w:rsid w:val="007448BE"/>
    <w:rsid w:val="007928DC"/>
    <w:rsid w:val="008456AA"/>
    <w:rsid w:val="00877332"/>
    <w:rsid w:val="008864A6"/>
    <w:rsid w:val="008C2237"/>
    <w:rsid w:val="00902A6A"/>
    <w:rsid w:val="009C1EEF"/>
    <w:rsid w:val="009D1CCE"/>
    <w:rsid w:val="009D59D7"/>
    <w:rsid w:val="009F004D"/>
    <w:rsid w:val="00A10E2F"/>
    <w:rsid w:val="00A1588C"/>
    <w:rsid w:val="00A6498A"/>
    <w:rsid w:val="00A93E70"/>
    <w:rsid w:val="00AD0DA9"/>
    <w:rsid w:val="00AE4FF4"/>
    <w:rsid w:val="00B65632"/>
    <w:rsid w:val="00C1359B"/>
    <w:rsid w:val="00C475B0"/>
    <w:rsid w:val="00C56954"/>
    <w:rsid w:val="00CB067E"/>
    <w:rsid w:val="00CB5762"/>
    <w:rsid w:val="00CC03D6"/>
    <w:rsid w:val="00CC6BD6"/>
    <w:rsid w:val="00CD519A"/>
    <w:rsid w:val="00D00640"/>
    <w:rsid w:val="00D27040"/>
    <w:rsid w:val="00D47B99"/>
    <w:rsid w:val="00D8416D"/>
    <w:rsid w:val="00D96864"/>
    <w:rsid w:val="00DA660C"/>
    <w:rsid w:val="00DC6E02"/>
    <w:rsid w:val="00DE4C12"/>
    <w:rsid w:val="00E079F4"/>
    <w:rsid w:val="00E71034"/>
    <w:rsid w:val="00EE1989"/>
    <w:rsid w:val="00F6557D"/>
    <w:rsid w:val="00F700CF"/>
    <w:rsid w:val="00F72F55"/>
    <w:rsid w:val="00FA3E87"/>
    <w:rsid w:val="00FB05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BD6"/>
    <w:pPr>
      <w:tabs>
        <w:tab w:val="center" w:pos="4153"/>
        <w:tab w:val="right" w:pos="8306"/>
      </w:tabs>
      <w:snapToGrid w:val="0"/>
    </w:pPr>
    <w:rPr>
      <w:sz w:val="20"/>
    </w:rPr>
  </w:style>
  <w:style w:type="character" w:customStyle="1" w:styleId="a4">
    <w:name w:val="頁首 字元"/>
    <w:basedOn w:val="a0"/>
    <w:link w:val="a3"/>
    <w:uiPriority w:val="99"/>
    <w:rsid w:val="00CC6BD6"/>
  </w:style>
  <w:style w:type="paragraph" w:styleId="a5">
    <w:name w:val="footer"/>
    <w:basedOn w:val="a"/>
    <w:link w:val="a6"/>
    <w:uiPriority w:val="99"/>
    <w:unhideWhenUsed/>
    <w:rsid w:val="00CC6BD6"/>
    <w:pPr>
      <w:tabs>
        <w:tab w:val="center" w:pos="4153"/>
        <w:tab w:val="right" w:pos="8306"/>
      </w:tabs>
      <w:snapToGrid w:val="0"/>
    </w:pPr>
    <w:rPr>
      <w:sz w:val="20"/>
    </w:rPr>
  </w:style>
  <w:style w:type="character" w:customStyle="1" w:styleId="a6">
    <w:name w:val="頁尾 字元"/>
    <w:basedOn w:val="a0"/>
    <w:link w:val="a5"/>
    <w:uiPriority w:val="99"/>
    <w:rsid w:val="00CC6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BD6"/>
    <w:pPr>
      <w:tabs>
        <w:tab w:val="center" w:pos="4153"/>
        <w:tab w:val="right" w:pos="8306"/>
      </w:tabs>
      <w:snapToGrid w:val="0"/>
    </w:pPr>
    <w:rPr>
      <w:sz w:val="20"/>
    </w:rPr>
  </w:style>
  <w:style w:type="character" w:customStyle="1" w:styleId="a4">
    <w:name w:val="頁首 字元"/>
    <w:basedOn w:val="a0"/>
    <w:link w:val="a3"/>
    <w:uiPriority w:val="99"/>
    <w:rsid w:val="00CC6BD6"/>
  </w:style>
  <w:style w:type="paragraph" w:styleId="a5">
    <w:name w:val="footer"/>
    <w:basedOn w:val="a"/>
    <w:link w:val="a6"/>
    <w:uiPriority w:val="99"/>
    <w:unhideWhenUsed/>
    <w:rsid w:val="00CC6BD6"/>
    <w:pPr>
      <w:tabs>
        <w:tab w:val="center" w:pos="4153"/>
        <w:tab w:val="right" w:pos="8306"/>
      </w:tabs>
      <w:snapToGrid w:val="0"/>
    </w:pPr>
    <w:rPr>
      <w:sz w:val="20"/>
    </w:rPr>
  </w:style>
  <w:style w:type="character" w:customStyle="1" w:styleId="a6">
    <w:name w:val="頁尾 字元"/>
    <w:basedOn w:val="a0"/>
    <w:link w:val="a5"/>
    <w:uiPriority w:val="99"/>
    <w:rsid w:val="00CC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719</Characters>
  <Application>Microsoft Office Word</Application>
  <DocSecurity>0</DocSecurity>
  <Lines>5</Lines>
  <Paragraphs>1</Paragraphs>
  <ScaleCrop>false</ScaleCrop>
  <Company>行政院環境保護署(355000000II2Z033)</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行政院環境保護署全球資訊網--書表下載</dc:title>
  <dc:subject>編製說明</dc:subject>
  <dc:creator>行政院環境保護署</dc:creator>
  <cp:keywords>編製說明</cp:keywords>
  <cp:lastModifiedBy>ac2038</cp:lastModifiedBy>
  <cp:revision>2</cp:revision>
  <cp:lastPrinted>2018-10-19T08:13:00Z</cp:lastPrinted>
  <dcterms:created xsi:type="dcterms:W3CDTF">2018-12-25T06:50:00Z</dcterms:created>
  <dcterms:modified xsi:type="dcterms:W3CDTF">2018-12-25T06:50:00Z</dcterms:modified>
  <cp:category>770;CA4;I2Z</cp:category>
</cp:coreProperties>
</file>