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標楷體" w:hAnsi="標楷體" w:eastAsia="標楷體" w:cs="Times New Roman"/>
          <w:b/>
          <w:b/>
          <w:bCs/>
          <w:sz w:val="36"/>
          <w:szCs w:val="36"/>
        </w:rPr>
      </w:pPr>
      <w:r>
        <w:rPr>
          <w:rFonts w:ascii="標楷體" w:hAnsi="標楷體" w:cs="標楷體" w:eastAsia="標楷體"/>
          <w:b/>
          <w:bCs/>
          <w:sz w:val="36"/>
          <w:szCs w:val="36"/>
        </w:rPr>
        <w:t>花蓮縣登山活動管理自治條例</w:t>
      </w:r>
    </w:p>
    <w:p>
      <w:pPr>
        <w:pStyle w:val="Normal"/>
        <w:jc w:val="right"/>
        <w:rPr>
          <w:rFonts w:ascii="標楷體" w:hAnsi="標楷體" w:eastAsia="標楷體" w:cs="Times New Roman"/>
        </w:rPr>
      </w:pPr>
      <w:r>
        <w:rPr>
          <w:rFonts w:eastAsia="標楷體" w:cs="標楷體" w:ascii="標楷體" w:hAnsi="標楷體"/>
        </w:rPr>
        <w:t>106</w:t>
      </w:r>
      <w:r>
        <w:rPr>
          <w:rFonts w:ascii="標楷體" w:hAnsi="標楷體" w:cs="標楷體" w:eastAsia="標楷體"/>
        </w:rPr>
        <w:t>年</w:t>
      </w:r>
      <w:r>
        <w:rPr>
          <w:rFonts w:eastAsia="標楷體" w:cs="標楷體" w:ascii="標楷體" w:hAnsi="標楷體"/>
        </w:rPr>
        <w:t>9</w:t>
      </w:r>
      <w:r>
        <w:rPr>
          <w:rFonts w:ascii="標楷體" w:hAnsi="標楷體" w:cs="標楷體" w:eastAsia="標楷體"/>
        </w:rPr>
        <w:t>月</w:t>
      </w:r>
      <w:r>
        <w:rPr>
          <w:rFonts w:eastAsia="標楷體" w:cs="標楷體" w:ascii="標楷體" w:hAnsi="標楷體"/>
        </w:rPr>
        <w:t>14</w:t>
      </w:r>
      <w:r>
        <w:rPr>
          <w:rFonts w:ascii="標楷體" w:hAnsi="標楷體" w:cs="標楷體" w:eastAsia="標楷體"/>
        </w:rPr>
        <w:t>日府行法字第</w:t>
      </w:r>
      <w:r>
        <w:rPr>
          <w:rFonts w:eastAsia="標楷體" w:cs="標楷體" w:ascii="標楷體" w:hAnsi="標楷體"/>
        </w:rPr>
        <w:t>1060172054</w:t>
      </w:r>
      <w:r>
        <w:rPr>
          <w:rFonts w:ascii="標楷體" w:hAnsi="標楷體" w:cs="標楷體" w:eastAsia="標楷體"/>
        </w:rPr>
        <w:t>號令公布</w:t>
      </w:r>
    </w:p>
    <w:p>
      <w:pPr>
        <w:pStyle w:val="Normal"/>
        <w:widowControl/>
        <w:spacing w:lineRule="exact" w:line="460"/>
        <w:ind w:left="1406" w:hanging="1406"/>
        <w:jc w:val="both"/>
        <w:rPr>
          <w:rFonts w:ascii="標楷體" w:hAnsi="標楷體" w:eastAsia="標楷體" w:cs="Times New Roman"/>
          <w:sz w:val="28"/>
          <w:szCs w:val="28"/>
        </w:rPr>
      </w:pPr>
      <w:r>
        <w:rPr>
          <w:rFonts w:ascii="標楷體" w:hAnsi="標楷體" w:cs="標楷體" w:eastAsia="標楷體"/>
          <w:sz w:val="28"/>
          <w:szCs w:val="28"/>
        </w:rPr>
        <w:t>第一條　　花蓮縣（以下簡稱本縣）為加強山域登山活動意外事故預防管理，維護人民生命安全，特制定本自治條例。</w:t>
      </w:r>
    </w:p>
    <w:p>
      <w:pPr>
        <w:pStyle w:val="Normal"/>
        <w:widowControl/>
        <w:spacing w:lineRule="exact" w:line="460"/>
        <w:ind w:left="847" w:firstLine="568"/>
        <w:jc w:val="both"/>
        <w:rPr>
          <w:rFonts w:ascii="標楷體" w:hAnsi="標楷體" w:eastAsia="標楷體" w:cs="Times New Roman"/>
          <w:sz w:val="28"/>
          <w:szCs w:val="28"/>
        </w:rPr>
      </w:pPr>
      <w:r>
        <w:rPr>
          <w:rFonts w:ascii="標楷體" w:hAnsi="標楷體" w:cs="標楷體" w:eastAsia="標楷體"/>
          <w:sz w:val="28"/>
          <w:szCs w:val="28"/>
        </w:rPr>
        <w:t>本自治條例未規定者，適用相關法令。</w:t>
      </w:r>
    </w:p>
    <w:p>
      <w:pPr>
        <w:pStyle w:val="Normal"/>
        <w:widowControl/>
        <w:spacing w:lineRule="exact" w:line="460"/>
        <w:ind w:left="848" w:hanging="848"/>
        <w:jc w:val="both"/>
        <w:rPr>
          <w:rFonts w:ascii="標楷體" w:hAnsi="標楷體" w:eastAsia="標楷體" w:cs="Times New Roman"/>
          <w:sz w:val="28"/>
          <w:szCs w:val="28"/>
        </w:rPr>
      </w:pPr>
      <w:r>
        <w:rPr>
          <w:rFonts w:ascii="標楷體" w:hAnsi="標楷體" w:cs="標楷體" w:eastAsia="標楷體"/>
          <w:sz w:val="28"/>
          <w:szCs w:val="28"/>
        </w:rPr>
        <w:t>第二條　　本自治條例之主管機關為花蓮縣政府（以下簡稱本府）。</w:t>
      </w:r>
    </w:p>
    <w:p>
      <w:pPr>
        <w:pStyle w:val="Normal"/>
        <w:widowControl/>
        <w:spacing w:lineRule="exact" w:line="460"/>
        <w:ind w:left="848" w:hanging="848"/>
        <w:jc w:val="both"/>
        <w:rPr>
          <w:rFonts w:ascii="標楷體" w:hAnsi="標楷體" w:eastAsia="標楷體" w:cs="Times New Roman"/>
          <w:sz w:val="28"/>
          <w:szCs w:val="28"/>
        </w:rPr>
      </w:pPr>
      <w:r>
        <w:rPr>
          <w:rFonts w:ascii="標楷體" w:hAnsi="標楷體" w:cs="標楷體" w:eastAsia="標楷體"/>
          <w:sz w:val="28"/>
          <w:szCs w:val="28"/>
        </w:rPr>
        <w:t>第三條　　本自治條例用詞，定義如下：</w:t>
      </w:r>
    </w:p>
    <w:p>
      <w:pPr>
        <w:pStyle w:val="ListParagraph"/>
        <w:widowControl/>
        <w:numPr>
          <w:ilvl w:val="0"/>
          <w:numId w:val="1"/>
        </w:numPr>
        <w:spacing w:lineRule="exact" w:line="460"/>
        <w:ind w:left="1985" w:hanging="567"/>
        <w:jc w:val="both"/>
        <w:rPr>
          <w:rFonts w:ascii="標楷體" w:hAnsi="標楷體" w:eastAsia="標楷體"/>
          <w:sz w:val="28"/>
          <w:szCs w:val="28"/>
        </w:rPr>
      </w:pPr>
      <w:r>
        <w:rPr>
          <w:rFonts w:ascii="標楷體" w:hAnsi="標楷體" w:cs="標楷體" w:eastAsia="標楷體"/>
          <w:sz w:val="28"/>
          <w:szCs w:val="28"/>
        </w:rPr>
        <w:t>登山活動：指進入山域進行縱走攀登、徒步健行、山野探勘、技能訓練、攀岩、溯溪、路跑、露營或相關山域戶外活動。</w:t>
      </w:r>
    </w:p>
    <w:p>
      <w:pPr>
        <w:pStyle w:val="ListParagraph"/>
        <w:widowControl/>
        <w:numPr>
          <w:ilvl w:val="0"/>
          <w:numId w:val="1"/>
        </w:numPr>
        <w:spacing w:lineRule="exact" w:line="460"/>
        <w:ind w:left="1985" w:hanging="567"/>
        <w:jc w:val="both"/>
        <w:rPr>
          <w:rFonts w:ascii="標楷體" w:hAnsi="標楷體" w:eastAsia="標楷體"/>
          <w:sz w:val="28"/>
          <w:szCs w:val="28"/>
        </w:rPr>
      </w:pPr>
      <w:r>
        <w:rPr>
          <w:rFonts w:ascii="標楷體" w:hAnsi="標楷體" w:cs="標楷體" w:eastAsia="標楷體"/>
          <w:sz w:val="28"/>
          <w:szCs w:val="28"/>
        </w:rPr>
        <w:t>管制山域：指地理位置座落於本縣</w:t>
      </w:r>
      <w:bookmarkStart w:id="0" w:name="_GoBack"/>
      <w:bookmarkEnd w:id="0"/>
      <w:r>
        <w:rPr>
          <w:rFonts w:ascii="標楷體" w:hAnsi="標楷體" w:cs="標楷體" w:eastAsia="標楷體"/>
          <w:sz w:val="28"/>
          <w:szCs w:val="28"/>
        </w:rPr>
        <w:t>行政轄區內之山域，且經本府公告列入一般管制及特殊管制之山域。</w:t>
      </w:r>
    </w:p>
    <w:p>
      <w:pPr>
        <w:pStyle w:val="ListParagraph"/>
        <w:widowControl/>
        <w:numPr>
          <w:ilvl w:val="0"/>
          <w:numId w:val="1"/>
        </w:numPr>
        <w:spacing w:lineRule="exact" w:line="460"/>
        <w:ind w:left="1985" w:hanging="567"/>
        <w:jc w:val="both"/>
        <w:rPr>
          <w:rFonts w:ascii="標楷體" w:hAnsi="標楷體" w:eastAsia="標楷體"/>
          <w:sz w:val="28"/>
          <w:szCs w:val="28"/>
        </w:rPr>
      </w:pPr>
      <w:r>
        <w:rPr>
          <w:rFonts w:ascii="標楷體" w:hAnsi="標楷體" w:cs="標楷體" w:eastAsia="標楷體"/>
          <w:sz w:val="28"/>
          <w:szCs w:val="28"/>
        </w:rPr>
        <w:t>一般管制山域：指需申請入山許可並經本府公告之山域步道或山地經常管制區域。</w:t>
      </w:r>
    </w:p>
    <w:p>
      <w:pPr>
        <w:pStyle w:val="ListParagraph"/>
        <w:widowControl/>
        <w:numPr>
          <w:ilvl w:val="0"/>
          <w:numId w:val="1"/>
        </w:numPr>
        <w:spacing w:lineRule="exact" w:line="460"/>
        <w:ind w:left="1985" w:hanging="567"/>
        <w:jc w:val="both"/>
        <w:rPr>
          <w:rFonts w:ascii="標楷體" w:hAnsi="標楷體" w:eastAsia="標楷體"/>
          <w:color w:val="000000"/>
          <w:sz w:val="28"/>
          <w:szCs w:val="28"/>
        </w:rPr>
      </w:pPr>
      <w:r>
        <w:rPr>
          <w:rFonts w:ascii="標楷體" w:hAnsi="標楷體" w:cs="標楷體" w:eastAsia="標楷體"/>
          <w:sz w:val="28"/>
          <w:szCs w:val="28"/>
        </w:rPr>
        <w:t>特殊管制</w:t>
      </w:r>
      <w:r>
        <w:rPr>
          <w:rFonts w:ascii="標楷體" w:hAnsi="標楷體" w:cs="標楷體" w:eastAsia="標楷體"/>
          <w:color w:val="000000"/>
          <w:sz w:val="28"/>
          <w:szCs w:val="28"/>
        </w:rPr>
        <w:t>山域：指需申請國家公園入園許可並經本府公告之山域。</w:t>
      </w:r>
    </w:p>
    <w:p>
      <w:pPr>
        <w:pStyle w:val="Normal"/>
        <w:widowControl/>
        <w:spacing w:lineRule="exact" w:line="460"/>
        <w:ind w:left="848" w:hanging="848"/>
        <w:jc w:val="both"/>
        <w:rPr>
          <w:rFonts w:ascii="標楷體" w:hAnsi="標楷體" w:eastAsia="標楷體" w:cs="Times New Roman"/>
          <w:color w:val="000000"/>
          <w:sz w:val="28"/>
          <w:szCs w:val="28"/>
        </w:rPr>
      </w:pPr>
      <w:r>
        <w:rPr>
          <w:rFonts w:ascii="標楷體" w:hAnsi="標楷體" w:cs="標楷體" w:eastAsia="標楷體"/>
          <w:color w:val="000000"/>
          <w:sz w:val="28"/>
          <w:szCs w:val="28"/>
        </w:rPr>
        <w:t>第四條　　進入本府公告</w:t>
      </w:r>
      <w:r>
        <w:rPr>
          <w:rFonts w:ascii="標楷體" w:hAnsi="標楷體" w:cs="標楷體" w:eastAsia="標楷體"/>
          <w:sz w:val="28"/>
          <w:szCs w:val="28"/>
        </w:rPr>
        <w:t>之管制</w:t>
      </w:r>
      <w:r>
        <w:rPr>
          <w:rFonts w:ascii="標楷體" w:hAnsi="標楷體" w:cs="標楷體" w:eastAsia="標楷體"/>
          <w:color w:val="000000"/>
          <w:sz w:val="28"/>
          <w:szCs w:val="28"/>
        </w:rPr>
        <w:t>山域從事登山活動，應遵守下列事項：</w:t>
      </w:r>
    </w:p>
    <w:p>
      <w:pPr>
        <w:pStyle w:val="ListParagraph"/>
        <w:widowControl/>
        <w:numPr>
          <w:ilvl w:val="0"/>
          <w:numId w:val="3"/>
        </w:numPr>
        <w:spacing w:lineRule="exact" w:line="460"/>
        <w:ind w:left="1985" w:hanging="567"/>
        <w:jc w:val="both"/>
        <w:rPr>
          <w:rFonts w:eastAsia="標楷體"/>
          <w:color w:val="000000"/>
          <w:sz w:val="28"/>
          <w:szCs w:val="28"/>
        </w:rPr>
      </w:pPr>
      <w:r>
        <w:rPr>
          <w:rFonts w:ascii="標楷體" w:hAnsi="標楷體" w:cs="標楷體" w:eastAsia="標楷體"/>
          <w:color w:val="000000"/>
          <w:sz w:val="28"/>
          <w:szCs w:val="28"/>
        </w:rPr>
        <w:t>依國家公園法、國家安全法或相關法令規定需申請者，應先取得許可</w:t>
      </w:r>
      <w:r>
        <w:rPr>
          <w:rFonts w:cs="標楷體" w:eastAsia="標楷體"/>
          <w:color w:val="000000"/>
          <w:sz w:val="28"/>
          <w:szCs w:val="28"/>
        </w:rPr>
        <w:t>。</w:t>
      </w:r>
    </w:p>
    <w:p>
      <w:pPr>
        <w:pStyle w:val="ListParagraph"/>
        <w:widowControl/>
        <w:numPr>
          <w:ilvl w:val="0"/>
          <w:numId w:val="3"/>
        </w:numPr>
        <w:spacing w:lineRule="exact" w:line="460"/>
        <w:ind w:left="1985" w:hanging="567"/>
        <w:jc w:val="both"/>
        <w:rPr>
          <w:rFonts w:ascii="標楷體" w:hAnsi="標楷體" w:eastAsia="標楷體"/>
          <w:sz w:val="28"/>
          <w:szCs w:val="28"/>
        </w:rPr>
      </w:pPr>
      <w:r>
        <w:rPr>
          <w:rFonts w:ascii="標楷體" w:hAnsi="標楷體" w:cs="標楷體" w:eastAsia="標楷體"/>
          <w:color w:val="000000"/>
          <w:sz w:val="28"/>
          <w:szCs w:val="28"/>
        </w:rPr>
        <w:t>進入管制山域應依登山計畫從事登</w:t>
      </w:r>
      <w:r>
        <w:rPr>
          <w:rFonts w:ascii="標楷體" w:hAnsi="標楷體" w:cs="標楷體" w:eastAsia="標楷體"/>
          <w:sz w:val="28"/>
          <w:szCs w:val="28"/>
        </w:rPr>
        <w:t>山活動，不得改變登山活動路線或範圍。因天災或不可抗力因素致須變更登山計畫者，應以所持通訊設備向原申請機關報備，但因通訊不良或其他不可歸責於當事人之因素致無法報備者，不在此限。</w:t>
      </w:r>
    </w:p>
    <w:p>
      <w:pPr>
        <w:pStyle w:val="ListParagraph"/>
        <w:widowControl/>
        <w:numPr>
          <w:ilvl w:val="0"/>
          <w:numId w:val="3"/>
        </w:numPr>
        <w:spacing w:lineRule="exact" w:line="460"/>
        <w:ind w:left="1985" w:hanging="567"/>
        <w:jc w:val="both"/>
        <w:rPr>
          <w:rFonts w:ascii="標楷體" w:hAnsi="標楷體" w:eastAsia="標楷體"/>
          <w:sz w:val="28"/>
          <w:szCs w:val="28"/>
        </w:rPr>
      </w:pPr>
      <w:r>
        <w:rPr>
          <w:rFonts w:ascii="標楷體" w:hAnsi="標楷體" w:cs="標楷體" w:eastAsia="標楷體"/>
          <w:sz w:val="28"/>
          <w:szCs w:val="28"/>
        </w:rPr>
        <w:t>未開放之山域步道禁止進入及自行開闢路徑。但為避免緊急危難者，不在此限。</w:t>
      </w:r>
    </w:p>
    <w:p>
      <w:pPr>
        <w:pStyle w:val="Normal"/>
        <w:widowControl/>
        <w:spacing w:lineRule="exact" w:line="460"/>
        <w:ind w:left="848" w:hanging="848"/>
        <w:jc w:val="both"/>
        <w:rPr>
          <w:rFonts w:ascii="標楷體" w:hAnsi="標楷體" w:eastAsia="標楷體" w:cs="Times New Roman"/>
          <w:sz w:val="28"/>
          <w:szCs w:val="28"/>
        </w:rPr>
      </w:pPr>
      <w:r>
        <w:rPr>
          <w:rFonts w:cs="標楷體" w:eastAsia="標楷體"/>
          <w:sz w:val="28"/>
          <w:szCs w:val="28"/>
        </w:rPr>
        <w:t>第五條　　進入本府公告之管制山域</w:t>
      </w:r>
      <w:r>
        <w:rPr>
          <w:rFonts w:ascii="標楷體" w:hAnsi="標楷體" w:cs="標楷體" w:eastAsia="標楷體"/>
          <w:sz w:val="28"/>
          <w:szCs w:val="28"/>
        </w:rPr>
        <w:t>從事登山活動，應攜帶下列裝備：</w:t>
      </w:r>
    </w:p>
    <w:p>
      <w:pPr>
        <w:pStyle w:val="ListParagraph"/>
        <w:widowControl/>
        <w:numPr>
          <w:ilvl w:val="0"/>
          <w:numId w:val="2"/>
        </w:numPr>
        <w:spacing w:lineRule="exact" w:line="460"/>
        <w:ind w:left="1985" w:hanging="567"/>
        <w:jc w:val="both"/>
        <w:rPr>
          <w:rFonts w:ascii="標楷體" w:hAnsi="標楷體" w:eastAsia="標楷體"/>
          <w:sz w:val="28"/>
          <w:szCs w:val="28"/>
        </w:rPr>
      </w:pPr>
      <w:r>
        <w:rPr>
          <w:rFonts w:ascii="標楷體" w:hAnsi="標楷體" w:cs="標楷體" w:eastAsia="標楷體"/>
          <w:sz w:val="28"/>
          <w:szCs w:val="28"/>
        </w:rPr>
        <w:t>具有定位功能之器材。</w:t>
      </w:r>
    </w:p>
    <w:p>
      <w:pPr>
        <w:pStyle w:val="ListParagraph"/>
        <w:widowControl/>
        <w:numPr>
          <w:ilvl w:val="0"/>
          <w:numId w:val="0"/>
        </w:numPr>
        <w:spacing w:lineRule="exact" w:line="460"/>
        <w:ind w:hanging="0"/>
        <w:jc w:val="both"/>
        <w:rPr/>
      </w:pPr>
      <w:r>
        <w:rPr>
          <w:rFonts w:ascii="標楷體" w:hAnsi="標楷體" w:cs="標楷體" w:eastAsia="標楷體"/>
          <w:sz w:val="28"/>
          <w:szCs w:val="28"/>
        </w:rPr>
        <w:t xml:space="preserve">          </w:t>
      </w:r>
      <w:r>
        <w:rPr>
          <w:rFonts w:ascii="標楷體" w:hAnsi="標楷體" w:cs="標楷體" w:eastAsia="標楷體"/>
          <w:sz w:val="28"/>
          <w:szCs w:val="28"/>
        </w:rPr>
        <w:t>二、可供緊急聯絡之通信設備及足夠之電源供應器。</w:t>
      </w:r>
    </w:p>
    <w:p>
      <w:pPr>
        <w:pStyle w:val="Normal"/>
        <w:widowControl/>
        <w:spacing w:lineRule="exact" w:line="460"/>
        <w:ind w:left="848" w:hanging="848"/>
        <w:jc w:val="both"/>
        <w:rPr>
          <w:rFonts w:ascii="標楷體" w:hAnsi="標楷體" w:eastAsia="標楷體" w:cs="Times New Roman"/>
          <w:sz w:val="28"/>
          <w:szCs w:val="28"/>
        </w:rPr>
      </w:pPr>
      <w:r>
        <w:rPr>
          <w:rFonts w:cs="標楷體" w:eastAsia="標楷體"/>
          <w:sz w:val="28"/>
          <w:szCs w:val="28"/>
        </w:rPr>
        <w:t>第六</w:t>
      </w:r>
      <w:r>
        <w:rPr>
          <w:rFonts w:ascii="標楷體" w:hAnsi="標楷體" w:cs="標楷體" w:eastAsia="標楷體"/>
          <w:sz w:val="28"/>
          <w:szCs w:val="28"/>
        </w:rPr>
        <w:t>條　　登山活動範圍涉及本府公告之管制山域者，應由領隊帶領之。</w:t>
      </w:r>
    </w:p>
    <w:p>
      <w:pPr>
        <w:pStyle w:val="Normal"/>
        <w:widowControl/>
        <w:spacing w:lineRule="exact" w:line="460"/>
        <w:ind w:left="847" w:firstLine="568"/>
        <w:jc w:val="both"/>
        <w:rPr>
          <w:rFonts w:ascii="標楷體" w:hAnsi="標楷體" w:eastAsia="標楷體" w:cs="Times New Roman"/>
          <w:color w:val="000000"/>
          <w:sz w:val="28"/>
          <w:szCs w:val="28"/>
        </w:rPr>
      </w:pPr>
      <w:r>
        <w:rPr>
          <w:rFonts w:ascii="標楷體" w:hAnsi="標楷體" w:cs="標楷體" w:eastAsia="標楷體"/>
          <w:sz w:val="28"/>
          <w:szCs w:val="28"/>
        </w:rPr>
        <w:t>前</w:t>
      </w:r>
      <w:r>
        <w:rPr>
          <w:rFonts w:ascii="標楷體" w:hAnsi="標楷體" w:cs="標楷體" w:eastAsia="標楷體"/>
          <w:color w:val="000000"/>
          <w:sz w:val="28"/>
          <w:szCs w:val="28"/>
        </w:rPr>
        <w:t>項領隊應具備初級緊急救護能力，並領有基本救命術證書或初級救護技術員等相關證照；且優先由具有山域嚮導專業人員證書者擔任之。但隊員一人已具備相關證照或山域嚮導專業人員證書者，不在此限。</w:t>
      </w:r>
    </w:p>
    <w:p>
      <w:pPr>
        <w:pStyle w:val="Normal"/>
        <w:widowControl/>
        <w:spacing w:lineRule="exact" w:line="460"/>
        <w:ind w:left="847" w:firstLine="568"/>
        <w:jc w:val="both"/>
        <w:rPr>
          <w:rFonts w:ascii="標楷體" w:hAnsi="標楷體" w:eastAsia="標楷體" w:cs="Times New Roman"/>
          <w:color w:val="000000"/>
          <w:sz w:val="28"/>
          <w:szCs w:val="28"/>
        </w:rPr>
      </w:pPr>
      <w:r>
        <w:rPr>
          <w:rFonts w:ascii="標楷體" w:hAnsi="標楷體" w:cs="標楷體" w:eastAsia="標楷體"/>
          <w:color w:val="000000"/>
          <w:sz w:val="28"/>
          <w:szCs w:val="28"/>
        </w:rPr>
        <w:t>領隊應依登山計畫帶領隊員從事登山活動，嚴禁隊員脫隊獨行，隊員負有遵從之義務；隊員發生意外事故致危及生命安全者，領隊應執行緊急救護並負起照顧之責。</w:t>
      </w:r>
    </w:p>
    <w:p>
      <w:pPr>
        <w:pStyle w:val="Normal"/>
        <w:widowControl/>
        <w:spacing w:lineRule="exact" w:line="460"/>
        <w:ind w:left="847" w:firstLine="568"/>
        <w:jc w:val="both"/>
        <w:rPr>
          <w:rFonts w:ascii="標楷體" w:hAnsi="標楷體" w:eastAsia="標楷體" w:cs="Times New Roman"/>
          <w:color w:val="000000"/>
          <w:sz w:val="28"/>
          <w:szCs w:val="28"/>
        </w:rPr>
      </w:pPr>
      <w:r>
        <w:rPr>
          <w:rFonts w:ascii="標楷體" w:hAnsi="標楷體" w:cs="標楷體" w:eastAsia="標楷體"/>
          <w:color w:val="000000"/>
          <w:sz w:val="28"/>
          <w:szCs w:val="28"/>
        </w:rPr>
        <w:t>領隊應為本人及隊員辦理登山綜合保險。</w:t>
      </w:r>
    </w:p>
    <w:p>
      <w:pPr>
        <w:pStyle w:val="Normal"/>
        <w:widowControl/>
        <w:spacing w:lineRule="exact" w:line="460"/>
        <w:ind w:left="847" w:firstLine="568"/>
        <w:jc w:val="both"/>
        <w:rPr>
          <w:rFonts w:ascii="標楷體" w:hAnsi="標楷體" w:eastAsia="標楷體" w:cs="Times New Roman"/>
          <w:color w:val="000000"/>
          <w:sz w:val="28"/>
          <w:szCs w:val="28"/>
        </w:rPr>
      </w:pPr>
      <w:r>
        <w:rPr>
          <w:rFonts w:ascii="標楷體" w:hAnsi="標楷體" w:cs="標楷體" w:eastAsia="標楷體"/>
          <w:color w:val="000000"/>
          <w:sz w:val="28"/>
          <w:szCs w:val="28"/>
        </w:rPr>
        <w:t>辦理登山綜合保險應包含「事故發生所產生死殘與醫療給付保險」及「緊急救援費用保險」，其最低保險金額由本府公告之。</w:t>
      </w:r>
    </w:p>
    <w:p>
      <w:pPr>
        <w:pStyle w:val="Normal"/>
        <w:widowControl/>
        <w:spacing w:lineRule="exact" w:line="460"/>
        <w:ind w:left="848" w:hanging="848"/>
        <w:jc w:val="both"/>
        <w:rPr>
          <w:rFonts w:eastAsia="標楷體" w:cs="Times New Roman"/>
          <w:color w:val="000000"/>
          <w:sz w:val="28"/>
          <w:szCs w:val="28"/>
        </w:rPr>
      </w:pPr>
      <w:r>
        <w:rPr>
          <w:rFonts w:ascii="標楷體" w:hAnsi="標楷體" w:cs="標楷體" w:eastAsia="標楷體"/>
          <w:color w:val="000000"/>
          <w:sz w:val="28"/>
          <w:szCs w:val="28"/>
        </w:rPr>
        <w:t>第</w:t>
      </w:r>
      <w:r>
        <w:rPr>
          <w:rFonts w:cs="標楷體" w:eastAsia="標楷體"/>
          <w:color w:val="000000"/>
          <w:sz w:val="28"/>
          <w:szCs w:val="28"/>
        </w:rPr>
        <w:t>七條　　登山活動範圍涉及本府公告之管制山域者，經交通部中央氣象局發布海上颱風警報時，本府得公告禁止進入山域活動，並以書面傳真</w:t>
      </w:r>
      <w:r>
        <w:rPr>
          <w:rFonts w:ascii="標楷體" w:hAnsi="標楷體" w:cs="標楷體" w:eastAsia="標楷體"/>
          <w:color w:val="000000"/>
          <w:sz w:val="28"/>
          <w:szCs w:val="28"/>
        </w:rPr>
        <w:t>、簡訊</w:t>
      </w:r>
      <w:r>
        <w:rPr>
          <w:rFonts w:cs="標楷體" w:eastAsia="標楷體"/>
          <w:color w:val="000000"/>
          <w:sz w:val="28"/>
          <w:szCs w:val="28"/>
        </w:rPr>
        <w:t>或電話通知許可入山或入園機關，採取緊急管制措施。</w:t>
      </w:r>
    </w:p>
    <w:p>
      <w:pPr>
        <w:pStyle w:val="Normal"/>
        <w:widowControl/>
        <w:spacing w:lineRule="exact" w:line="460"/>
        <w:ind w:left="847" w:firstLine="568"/>
        <w:jc w:val="both"/>
        <w:rPr>
          <w:rFonts w:eastAsia="標楷體" w:cs="Times New Roman"/>
          <w:dstrike/>
          <w:color w:val="000000"/>
          <w:sz w:val="28"/>
          <w:szCs w:val="28"/>
        </w:rPr>
      </w:pPr>
      <w:r>
        <w:rPr>
          <w:rFonts w:cs="標楷體" w:eastAsia="標楷體"/>
          <w:color w:val="000000"/>
          <w:sz w:val="28"/>
          <w:szCs w:val="28"/>
        </w:rPr>
        <w:t>前項</w:t>
      </w:r>
      <w:r>
        <w:rPr>
          <w:rFonts w:ascii="標楷體" w:hAnsi="標楷體" w:cs="標楷體" w:eastAsia="標楷體"/>
          <w:color w:val="000000"/>
          <w:sz w:val="28"/>
          <w:szCs w:val="28"/>
        </w:rPr>
        <w:t>公告</w:t>
      </w:r>
      <w:r>
        <w:rPr>
          <w:rFonts w:cs="標楷體" w:eastAsia="標楷體"/>
          <w:color w:val="000000"/>
          <w:sz w:val="28"/>
          <w:szCs w:val="28"/>
        </w:rPr>
        <w:t>禁止期間內</w:t>
      </w:r>
      <w:r>
        <w:rPr>
          <w:rFonts w:ascii="標楷體" w:hAnsi="標楷體" w:cs="標楷體" w:eastAsia="標楷體"/>
          <w:color w:val="000000"/>
          <w:sz w:val="28"/>
          <w:szCs w:val="28"/>
        </w:rPr>
        <w:t>，已取得之入山或入園許可應予廢止，</w:t>
      </w:r>
      <w:r>
        <w:rPr>
          <w:rFonts w:cs="標楷體" w:eastAsia="標楷體"/>
          <w:color w:val="000000"/>
          <w:sz w:val="28"/>
          <w:szCs w:val="28"/>
        </w:rPr>
        <w:t>不得進入管制山域，已進入者應於接獲通知後立即撤離。</w:t>
      </w:r>
    </w:p>
    <w:p>
      <w:pPr>
        <w:pStyle w:val="Normal"/>
        <w:widowControl/>
        <w:spacing w:lineRule="exact" w:line="460"/>
        <w:ind w:left="848" w:hanging="848"/>
        <w:jc w:val="both"/>
        <w:rPr>
          <w:rFonts w:ascii="標楷體" w:hAnsi="標楷體" w:eastAsia="標楷體" w:cs="Times New Roman"/>
          <w:color w:val="000000"/>
          <w:sz w:val="28"/>
          <w:szCs w:val="28"/>
        </w:rPr>
      </w:pPr>
      <w:r>
        <w:rPr>
          <w:rFonts w:ascii="標楷體" w:hAnsi="標楷體" w:cs="標楷體" w:eastAsia="標楷體"/>
          <w:color w:val="000000"/>
          <w:sz w:val="28"/>
          <w:szCs w:val="28"/>
        </w:rPr>
        <w:t>第八條　　違反第四條</w:t>
      </w:r>
      <w:r>
        <w:rPr>
          <w:rFonts w:ascii="標楷體" w:hAnsi="標楷體" w:cs="標楷體" w:eastAsia="標楷體"/>
          <w:sz w:val="28"/>
          <w:szCs w:val="28"/>
        </w:rPr>
        <w:t>第二款及第三款、第五條</w:t>
      </w:r>
      <w:r>
        <w:rPr>
          <w:rFonts w:ascii="標楷體" w:hAnsi="標楷體" w:cs="標楷體" w:eastAsia="標楷體"/>
          <w:color w:val="000000"/>
          <w:sz w:val="28"/>
          <w:szCs w:val="28"/>
        </w:rPr>
        <w:t>至第七條規定者，得由警察、消防機關或各山域業務主管機關逕行舉發並提供相關資料送本府裁處。但遇緊急危難狀況，得待該狀況解除後舉發。</w:t>
      </w:r>
    </w:p>
    <w:p>
      <w:pPr>
        <w:pStyle w:val="Normal"/>
        <w:widowControl/>
        <w:spacing w:lineRule="exact" w:line="460"/>
        <w:ind w:left="848" w:hanging="848"/>
        <w:jc w:val="both"/>
        <w:rPr>
          <w:rFonts w:ascii="標楷體" w:hAnsi="標楷體" w:eastAsia="標楷體" w:cs="Times New Roman"/>
          <w:sz w:val="28"/>
          <w:szCs w:val="28"/>
        </w:rPr>
      </w:pPr>
      <w:r>
        <w:rPr>
          <w:rFonts w:ascii="標楷體" w:hAnsi="標楷體" w:cs="標楷體" w:eastAsia="標楷體"/>
          <w:color w:val="000000"/>
          <w:sz w:val="28"/>
          <w:szCs w:val="28"/>
        </w:rPr>
        <w:t>第九條    領隊或隊員違反第六條規定者，處新臺幣一萬元以</w:t>
      </w:r>
      <w:r>
        <w:rPr>
          <w:rFonts w:ascii="標楷體" w:hAnsi="標楷體" w:cs="標楷體" w:eastAsia="標楷體"/>
          <w:sz w:val="28"/>
          <w:szCs w:val="28"/>
        </w:rPr>
        <w:t>上五萬元以下罰鍰。</w:t>
      </w:r>
    </w:p>
    <w:p>
      <w:pPr>
        <w:pStyle w:val="Normal"/>
        <w:widowControl/>
        <w:spacing w:lineRule="exact" w:line="460"/>
        <w:ind w:left="848" w:hanging="848"/>
        <w:jc w:val="both"/>
        <w:rPr>
          <w:rFonts w:ascii="標楷體" w:hAnsi="標楷體" w:eastAsia="標楷體" w:cs="Times New Roman"/>
          <w:sz w:val="28"/>
          <w:szCs w:val="28"/>
        </w:rPr>
      </w:pPr>
      <w:r>
        <w:rPr>
          <w:rFonts w:ascii="標楷體" w:hAnsi="標楷體" w:cs="標楷體" w:eastAsia="標楷體"/>
          <w:sz w:val="28"/>
          <w:szCs w:val="28"/>
        </w:rPr>
        <w:t>第十條　　從事登山活動者違反第七條第二項規定，處新臺幣一萬元以上五萬元以下罰鍰。但因即時撤離顯有危險之虞者不在此限。</w:t>
      </w:r>
    </w:p>
    <w:p>
      <w:pPr>
        <w:pStyle w:val="Normal"/>
        <w:widowControl/>
        <w:spacing w:lineRule="exact" w:line="460"/>
        <w:ind w:left="848" w:hanging="848"/>
        <w:jc w:val="both"/>
        <w:rPr>
          <w:rFonts w:ascii="標楷體" w:hAnsi="標楷體" w:eastAsia="標楷體" w:cs="Times New Roman"/>
          <w:color w:val="000000"/>
          <w:sz w:val="28"/>
          <w:szCs w:val="28"/>
        </w:rPr>
      </w:pPr>
      <w:r>
        <w:rPr>
          <w:rFonts w:ascii="標楷體" w:hAnsi="標楷體" w:cs="標楷體" w:eastAsia="標楷體"/>
          <w:sz w:val="28"/>
          <w:szCs w:val="28"/>
        </w:rPr>
        <w:t>第十一條　　從事登山活動</w:t>
      </w:r>
      <w:r>
        <w:rPr>
          <w:rStyle w:val="Redtext"/>
          <w:rFonts w:ascii="標楷體" w:hAnsi="標楷體" w:cs="標楷體" w:eastAsia="標楷體"/>
          <w:sz w:val="28"/>
          <w:szCs w:val="28"/>
        </w:rPr>
        <w:t>違反第四條</w:t>
      </w:r>
      <w:r>
        <w:rPr>
          <w:rFonts w:ascii="標楷體" w:hAnsi="標楷體" w:cs="標楷體" w:eastAsia="標楷體"/>
          <w:sz w:val="28"/>
          <w:szCs w:val="28"/>
        </w:rPr>
        <w:t>第二款及第三款規定者，處新臺幣六千元以上三萬元以下罰鍰。</w:t>
      </w:r>
    </w:p>
    <w:p>
      <w:pPr>
        <w:pStyle w:val="Normal"/>
        <w:widowControl/>
        <w:spacing w:lineRule="exact" w:line="460"/>
        <w:ind w:left="1134" w:hanging="1134"/>
        <w:jc w:val="both"/>
        <w:rPr>
          <w:rFonts w:ascii="標楷體" w:hAnsi="標楷體" w:eastAsia="標楷體" w:cs="Times New Roman"/>
          <w:dstrike/>
          <w:color w:val="000000"/>
          <w:sz w:val="28"/>
          <w:szCs w:val="28"/>
        </w:rPr>
      </w:pPr>
      <w:r>
        <w:rPr>
          <w:rFonts w:ascii="標楷體" w:hAnsi="標楷體" w:cs="標楷體" w:eastAsia="標楷體"/>
          <w:color w:val="000000"/>
          <w:sz w:val="28"/>
          <w:szCs w:val="28"/>
        </w:rPr>
        <w:t>第十二條　　從事登山活動者違反第五條規定者，處新臺幣三千元以上一萬五千元以下罰鍰。</w:t>
      </w:r>
    </w:p>
    <w:p>
      <w:pPr>
        <w:pStyle w:val="Normal"/>
        <w:widowControl/>
        <w:spacing w:lineRule="exact" w:line="460"/>
        <w:ind w:left="1134" w:hanging="1134"/>
        <w:jc w:val="both"/>
        <w:rPr>
          <w:rFonts w:ascii="標楷體" w:hAnsi="標楷體" w:eastAsia="標楷體" w:cs="Times New Roman"/>
          <w:sz w:val="28"/>
          <w:szCs w:val="28"/>
        </w:rPr>
      </w:pPr>
      <w:r>
        <w:rPr>
          <w:rFonts w:ascii="標楷體" w:hAnsi="標楷體" w:cs="標楷體" w:eastAsia="標楷體"/>
          <w:color w:val="000000"/>
          <w:sz w:val="28"/>
          <w:szCs w:val="28"/>
        </w:rPr>
        <w:t>第十三條　　警察、消防機關或各山域業務主管機關得查核、檢驗並要求從事登山活動者提出入山或入園許可等相關文</w:t>
      </w:r>
      <w:r>
        <w:rPr>
          <w:rFonts w:ascii="標楷體" w:hAnsi="標楷體" w:cs="標楷體" w:eastAsia="標楷體"/>
          <w:sz w:val="28"/>
          <w:szCs w:val="28"/>
        </w:rPr>
        <w:t>件資料。</w:t>
      </w:r>
    </w:p>
    <w:p>
      <w:pPr>
        <w:pStyle w:val="Normal"/>
        <w:widowControl/>
        <w:spacing w:lineRule="exact" w:line="460"/>
        <w:ind w:left="1128" w:firstLine="566"/>
        <w:jc w:val="both"/>
        <w:rPr>
          <w:rFonts w:ascii="標楷體" w:hAnsi="標楷體" w:eastAsia="標楷體" w:cs="Times New Roman"/>
          <w:sz w:val="28"/>
          <w:szCs w:val="28"/>
        </w:rPr>
      </w:pPr>
      <w:r>
        <w:rPr>
          <w:rFonts w:ascii="標楷體" w:hAnsi="標楷體" w:cs="標楷體" w:eastAsia="標楷體"/>
          <w:sz w:val="28"/>
          <w:szCs w:val="28"/>
        </w:rPr>
        <w:t>無故拒絕前項查核、檢驗或拒絕提出者，處新臺幣三千元以上一萬五千元以下罰鍰。</w:t>
      </w:r>
    </w:p>
    <w:p>
      <w:pPr>
        <w:pStyle w:val="Normal"/>
        <w:widowControl/>
        <w:spacing w:lineRule="exact" w:line="460"/>
        <w:ind w:left="1134" w:hanging="1134"/>
        <w:jc w:val="both"/>
        <w:rPr>
          <w:rFonts w:ascii="標楷體" w:hAnsi="標楷體" w:eastAsia="標楷體" w:cs="Times New Roman"/>
          <w:sz w:val="28"/>
          <w:szCs w:val="28"/>
        </w:rPr>
      </w:pPr>
      <w:r>
        <w:rPr>
          <w:rFonts w:ascii="標楷體" w:hAnsi="標楷體" w:cs="標楷體" w:eastAsia="標楷體"/>
          <w:sz w:val="28"/>
          <w:szCs w:val="28"/>
        </w:rPr>
        <w:t>第十四條　　於本府公告之管制山域從事登山活動遭受登山事故，由本府進行搜救者，本府得以書面命其支付搜救費用。</w:t>
      </w:r>
    </w:p>
    <w:p>
      <w:pPr>
        <w:pStyle w:val="Normal"/>
        <w:widowControl/>
        <w:spacing w:lineRule="exact" w:line="460"/>
        <w:ind w:left="1133" w:firstLine="566"/>
        <w:jc w:val="both"/>
        <w:rPr>
          <w:rFonts w:ascii="標楷體" w:hAnsi="標楷體" w:eastAsia="標楷體" w:cs="Times New Roman"/>
          <w:sz w:val="28"/>
          <w:szCs w:val="28"/>
        </w:rPr>
      </w:pPr>
      <w:r>
        <w:rPr>
          <w:rFonts w:ascii="標楷體" w:hAnsi="標楷體" w:cs="標楷體" w:eastAsia="標楷體"/>
          <w:sz w:val="28"/>
          <w:szCs w:val="28"/>
        </w:rPr>
        <w:t>前項搜救費用係指下列各項支出：</w:t>
      </w:r>
    </w:p>
    <w:p>
      <w:pPr>
        <w:pStyle w:val="ListParagraph"/>
        <w:widowControl/>
        <w:numPr>
          <w:ilvl w:val="1"/>
          <w:numId w:val="3"/>
        </w:numPr>
        <w:spacing w:lineRule="exact" w:line="460"/>
        <w:ind w:left="2268" w:hanging="567"/>
        <w:jc w:val="both"/>
        <w:rPr>
          <w:rFonts w:ascii="標楷體" w:hAnsi="標楷體" w:eastAsia="標楷體"/>
          <w:sz w:val="28"/>
          <w:szCs w:val="28"/>
        </w:rPr>
      </w:pPr>
      <w:r>
        <w:rPr>
          <w:rFonts w:ascii="標楷體" w:hAnsi="標楷體" w:cs="標楷體" w:eastAsia="標楷體"/>
          <w:sz w:val="28"/>
          <w:szCs w:val="28"/>
        </w:rPr>
        <w:t>本府及相關參與搜救機關所屬人員，除固定薪俸外，所增加之加班費、差旅費及保險費等費用，並以本府及相關參與搜救機關實際支付之人事費用計算之。</w:t>
      </w:r>
    </w:p>
    <w:p>
      <w:pPr>
        <w:pStyle w:val="ListParagraph"/>
        <w:widowControl/>
        <w:numPr>
          <w:ilvl w:val="1"/>
          <w:numId w:val="3"/>
        </w:numPr>
        <w:spacing w:lineRule="exact" w:line="460"/>
        <w:ind w:left="2268" w:hanging="567"/>
        <w:jc w:val="both"/>
        <w:rPr>
          <w:rFonts w:ascii="標楷體" w:hAnsi="標楷體" w:eastAsia="標楷體"/>
          <w:sz w:val="28"/>
          <w:szCs w:val="28"/>
        </w:rPr>
      </w:pPr>
      <w:r>
        <w:rPr>
          <w:rFonts w:ascii="標楷體" w:hAnsi="標楷體" w:cs="標楷體" w:eastAsia="標楷體"/>
          <w:sz w:val="28"/>
          <w:szCs w:val="28"/>
        </w:rPr>
        <w:t>本府及相關參與搜救機關徵調、委任、僱傭之民間勞務等費用，並以本府及相關參與搜救機關實際支付者計算之。</w:t>
      </w:r>
    </w:p>
    <w:p>
      <w:pPr>
        <w:pStyle w:val="ListParagraph"/>
        <w:widowControl/>
        <w:numPr>
          <w:ilvl w:val="1"/>
          <w:numId w:val="3"/>
        </w:numPr>
        <w:spacing w:lineRule="exact" w:line="460"/>
        <w:ind w:left="2268" w:hanging="567"/>
        <w:jc w:val="both"/>
        <w:rPr>
          <w:rFonts w:ascii="標楷體" w:hAnsi="標楷體" w:eastAsia="標楷體"/>
          <w:sz w:val="28"/>
          <w:szCs w:val="28"/>
        </w:rPr>
      </w:pPr>
      <w:r>
        <w:rPr>
          <w:rFonts w:ascii="標楷體" w:hAnsi="標楷體" w:cs="標楷體" w:eastAsia="標楷體"/>
          <w:sz w:val="28"/>
          <w:szCs w:val="28"/>
        </w:rPr>
        <w:t>本府及相關參與搜救機關徵用、徵購、租用、申請政府或民間之搜救犬、救災機具、車輛或航空器等裝備、土地、建築物、工作物，與所需飼料、油料、耗材及水電等費用，並以實際支付者計算之。</w:t>
      </w:r>
    </w:p>
    <w:p>
      <w:pPr>
        <w:pStyle w:val="ListParagraph"/>
        <w:widowControl/>
        <w:numPr>
          <w:ilvl w:val="1"/>
          <w:numId w:val="3"/>
        </w:numPr>
        <w:spacing w:lineRule="exact" w:line="460"/>
        <w:ind w:left="2268" w:hanging="567"/>
        <w:jc w:val="both"/>
        <w:rPr>
          <w:rFonts w:ascii="標楷體" w:hAnsi="標楷體" w:eastAsia="標楷體"/>
          <w:sz w:val="28"/>
          <w:szCs w:val="28"/>
        </w:rPr>
      </w:pPr>
      <w:r>
        <w:rPr>
          <w:rFonts w:ascii="標楷體" w:hAnsi="標楷體" w:cs="標楷體" w:eastAsia="標楷體"/>
          <w:sz w:val="28"/>
          <w:szCs w:val="28"/>
        </w:rPr>
        <w:t>其他因搜救所支付之必要費用。</w:t>
      </w:r>
    </w:p>
    <w:p>
      <w:pPr>
        <w:pStyle w:val="Normal"/>
        <w:widowControl/>
        <w:spacing w:lineRule="exact" w:line="460"/>
        <w:ind w:left="1133" w:firstLine="566"/>
        <w:jc w:val="both"/>
        <w:rPr>
          <w:rFonts w:ascii="標楷體" w:hAnsi="標楷體" w:eastAsia="標楷體" w:cs="Times New Roman"/>
          <w:sz w:val="28"/>
          <w:szCs w:val="28"/>
        </w:rPr>
      </w:pPr>
      <w:r>
        <w:rPr>
          <w:rFonts w:ascii="標楷體" w:hAnsi="標楷體" w:cs="標楷體" w:eastAsia="標楷體"/>
          <w:sz w:val="28"/>
          <w:szCs w:val="28"/>
        </w:rPr>
        <w:t>第一項搜救費用之計算不得逾第六條第四項登山綜合保險緊急救援費用保險金額。但從事登山活動者有違反第四條、第六條第一項、第三項</w:t>
      </w:r>
      <w:r>
        <w:rPr>
          <w:rFonts w:ascii="標楷體" w:hAnsi="標楷體" w:cs="標楷體" w:eastAsia="標楷體"/>
        </w:rPr>
        <w:t>、</w:t>
      </w:r>
      <w:r>
        <w:rPr>
          <w:rFonts w:ascii="標楷體" w:hAnsi="標楷體" w:cs="標楷體" w:eastAsia="標楷體"/>
          <w:sz w:val="28"/>
          <w:szCs w:val="28"/>
        </w:rPr>
        <w:t>第四項或第七條第二項規定情形之一者，不在此限。</w:t>
      </w:r>
    </w:p>
    <w:p>
      <w:pPr>
        <w:pStyle w:val="Normal"/>
        <w:widowControl/>
        <w:spacing w:lineRule="exact" w:line="460"/>
        <w:ind w:left="1134" w:hanging="1134"/>
        <w:jc w:val="both"/>
        <w:rPr>
          <w:rFonts w:ascii="標楷體" w:hAnsi="標楷體" w:eastAsia="標楷體" w:cs="Times New Roman"/>
          <w:sz w:val="28"/>
          <w:szCs w:val="28"/>
        </w:rPr>
      </w:pPr>
      <w:r>
        <w:rPr>
          <w:rFonts w:ascii="標楷體" w:hAnsi="標楷體" w:cs="標楷體" w:eastAsia="標楷體"/>
          <w:sz w:val="28"/>
          <w:szCs w:val="28"/>
        </w:rPr>
        <w:t>第十五條　　本自治條例之相關規定，適用自他轄進入本府公告之管制山域者。</w:t>
      </w:r>
    </w:p>
    <w:p>
      <w:pPr>
        <w:pStyle w:val="Normal"/>
        <w:widowControl/>
        <w:spacing w:lineRule="exact" w:line="460"/>
        <w:ind w:left="1134" w:hanging="1134"/>
        <w:jc w:val="both"/>
        <w:rPr>
          <w:rFonts w:ascii="標楷體" w:hAnsi="標楷體" w:eastAsia="標楷體" w:cs="Times New Roman"/>
          <w:sz w:val="28"/>
          <w:szCs w:val="28"/>
        </w:rPr>
      </w:pPr>
      <w:r>
        <w:rPr>
          <w:rFonts w:ascii="標楷體" w:hAnsi="標楷體" w:cs="標楷體" w:eastAsia="標楷體"/>
          <w:sz w:val="28"/>
          <w:szCs w:val="28"/>
        </w:rPr>
        <w:t>第十六條    原住民依原住民族基本法第十九條規定所為之行為，不適用本自治條例之規定。</w:t>
      </w:r>
    </w:p>
    <w:p>
      <w:pPr>
        <w:pStyle w:val="Normal"/>
        <w:widowControl/>
        <w:spacing w:lineRule="exact" w:line="460"/>
        <w:ind w:left="1134" w:hanging="1134"/>
        <w:jc w:val="both"/>
        <w:rPr>
          <w:rFonts w:ascii="標楷體" w:hAnsi="標楷體" w:eastAsia="標楷體" w:cs="Times New Roman"/>
          <w:sz w:val="28"/>
          <w:szCs w:val="28"/>
        </w:rPr>
      </w:pPr>
      <w:r>
        <w:rPr>
          <w:rFonts w:ascii="標楷體" w:hAnsi="標楷體" w:cs="標楷體" w:eastAsia="標楷體"/>
          <w:sz w:val="28"/>
          <w:szCs w:val="28"/>
        </w:rPr>
        <w:t>第十七條　　本自治條例所需書表格式，由本府另定之。</w:t>
      </w:r>
    </w:p>
    <w:p>
      <w:pPr>
        <w:pStyle w:val="Normal"/>
        <w:rPr/>
      </w:pPr>
      <w:r>
        <w:rPr>
          <w:rFonts w:ascii="標楷體" w:hAnsi="標楷體" w:cs="標楷體" w:eastAsia="標楷體"/>
          <w:sz w:val="28"/>
          <w:szCs w:val="28"/>
        </w:rPr>
        <w:t>第十八條    本自治條例自公布日施行。</w:t>
      </w:r>
    </w:p>
    <w:sectPr>
      <w:type w:val="nextPage"/>
      <w:pgSz w:w="11906" w:h="16838"/>
      <w:pgMar w:left="1800" w:right="1800"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Calibri Light">
    <w:charset w:val="88"/>
    <w:family w:val="roman"/>
    <w:pitch w:val="variable"/>
  </w:font>
  <w:font w:name="標楷體">
    <w:charset w:val="88"/>
    <w:family w:val="roman"/>
    <w:pitch w:val="variable"/>
  </w:font>
  <w:font w:name="Liberation Sans">
    <w:altName w:val="Arial"/>
    <w:charset w:val="88"/>
    <w:family w:val="roman"/>
    <w:pitch w:val="variable"/>
  </w:font>
  <w:font w:name="Times New Roman">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ind w:left="2422" w:hanging="720"/>
      </w:pPr>
      <w:rPr>
        <w:dstrike w:val="false"/>
        <w:strike w:val="false"/>
        <w:sz w:val="28"/>
        <w:rFonts w:ascii="標楷體" w:hAnsi="標楷體" w:eastAsia="標楷體"/>
        <w:color w:val="000000"/>
      </w:rPr>
    </w:lvl>
    <w:lvl w:ilvl="1">
      <w:start w:val="1"/>
      <w:numFmt w:val="taiwaneseCountingThousand"/>
      <w:lvlText w:val="（%2）"/>
      <w:lvlJc w:val="left"/>
      <w:pPr>
        <w:ind w:left="2618" w:hanging="72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2">
    <w:lvl w:ilvl="0">
      <w:start w:val="1"/>
      <w:numFmt w:val="taiwaneseCountingThousand"/>
      <w:lvlText w:val="%1、"/>
      <w:lvlJc w:val="left"/>
      <w:pPr>
        <w:ind w:left="2422" w:hanging="720"/>
      </w:pPr>
      <w:rPr>
        <w:dstrike w:val="false"/>
        <w:strike w:val="false"/>
        <w:sz w:val="28"/>
        <w:rFonts w:ascii="標楷體" w:hAnsi="標楷體" w:eastAsia="標楷體"/>
        <w:color w:val="000000"/>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3">
    <w:lvl w:ilvl="0">
      <w:start w:val="1"/>
      <w:numFmt w:val="taiwaneseCountingThousand"/>
      <w:lvlText w:val="%1、"/>
      <w:lvlJc w:val="left"/>
      <w:pPr>
        <w:ind w:left="2422" w:hanging="720"/>
      </w:pPr>
      <w:rPr>
        <w:dstrike w:val="false"/>
        <w:strike w:val="false"/>
        <w:sz w:val="28"/>
        <w:rFonts w:ascii="標楷體" w:hAnsi="標楷體" w:eastAsia="標楷體"/>
        <w:color w:val="000000"/>
      </w:rPr>
    </w:lvl>
    <w:lvl w:ilvl="1">
      <w:start w:val="1"/>
      <w:numFmt w:val="taiwaneseCountingThousand"/>
      <w:lvlText w:val="%2、"/>
      <w:lvlJc w:val="left"/>
      <w:pPr>
        <w:ind w:left="2618" w:hanging="72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480"/>
  <w:compat>
    <w:doNotExpandShiftReturn/>
  </w:compat>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Cs w:val="22"/>
        <w:lang w:val="en-US" w:eastAsia="zh-TW"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8586b"/>
    <w:pPr>
      <w:widowControl w:val="false"/>
      <w:bidi w:val="0"/>
      <w:jc w:val="left"/>
    </w:pPr>
    <w:rPr>
      <w:rFonts w:ascii="Calibri" w:hAnsi="Calibri" w:eastAsia="新細明體" w:cs="Calibri"/>
      <w:color w:val="auto"/>
      <w:kern w:val="2"/>
      <w:sz w:val="24"/>
      <w:szCs w:val="24"/>
      <w:lang w:val="en-US" w:eastAsia="zh-TW" w:bidi="ar-SA"/>
    </w:rPr>
  </w:style>
  <w:style w:type="character" w:styleId="DefaultParagraphFont" w:default="1">
    <w:name w:val="Default Paragraph Font"/>
    <w:uiPriority w:val="99"/>
    <w:semiHidden/>
    <w:qFormat/>
    <w:rPr/>
  </w:style>
  <w:style w:type="character" w:styleId="Redtext" w:customStyle="1">
    <w:name w:val="red_text"/>
    <w:basedOn w:val="DefaultParagraphFont"/>
    <w:uiPriority w:val="99"/>
    <w:qFormat/>
    <w:rsid w:val="00e50bec"/>
    <w:rPr/>
  </w:style>
  <w:style w:type="character" w:styleId="HeaderChar" w:customStyle="1">
    <w:name w:val="Header Char"/>
    <w:basedOn w:val="DefaultParagraphFont"/>
    <w:link w:val="Header"/>
    <w:uiPriority w:val="99"/>
    <w:qFormat/>
    <w:rsid w:val="00f6099c"/>
    <w:rPr>
      <w:sz w:val="20"/>
      <w:szCs w:val="20"/>
    </w:rPr>
  </w:style>
  <w:style w:type="character" w:styleId="FooterChar" w:customStyle="1">
    <w:name w:val="Footer Char"/>
    <w:basedOn w:val="DefaultParagraphFont"/>
    <w:link w:val="Footer"/>
    <w:uiPriority w:val="99"/>
    <w:qFormat/>
    <w:rsid w:val="00f6099c"/>
    <w:rPr>
      <w:sz w:val="20"/>
      <w:szCs w:val="20"/>
    </w:rPr>
  </w:style>
  <w:style w:type="character" w:styleId="BalloonTextChar" w:customStyle="1">
    <w:name w:val="Balloon Text Char"/>
    <w:basedOn w:val="DefaultParagraphFont"/>
    <w:link w:val="BalloonText"/>
    <w:uiPriority w:val="99"/>
    <w:semiHidden/>
    <w:qFormat/>
    <w:rsid w:val="0054363b"/>
    <w:rPr>
      <w:rFonts w:ascii="Calibri Light" w:hAnsi="Calibri Light" w:eastAsia="新細明體" w:cs="Calibri Light"/>
      <w:sz w:val="18"/>
      <w:szCs w:val="18"/>
    </w:rPr>
  </w:style>
  <w:style w:type="character" w:styleId="ListLabel1">
    <w:name w:val="ListLabel 1"/>
    <w:qFormat/>
    <w:rPr>
      <w:rFonts w:ascii="標楷體" w:hAnsi="標楷體" w:eastAsia="標楷體"/>
      <w:strike w:val="false"/>
      <w:dstrike w:val="false"/>
      <w:color w:val="000000"/>
      <w:sz w:val="28"/>
    </w:rPr>
  </w:style>
  <w:style w:type="character" w:styleId="ListLabel2">
    <w:name w:val="ListLabel 2"/>
    <w:qFormat/>
    <w:rPr>
      <w:rFonts w:ascii="標楷體" w:hAnsi="標楷體" w:eastAsia="標楷體"/>
      <w:strike w:val="false"/>
      <w:dstrike w:val="false"/>
      <w:color w:val="000000"/>
      <w:sz w:val="28"/>
    </w:rPr>
  </w:style>
  <w:style w:type="character" w:styleId="ListLabel3">
    <w:name w:val="ListLabel 3"/>
    <w:qFormat/>
    <w:rPr>
      <w:rFonts w:ascii="標楷體" w:hAnsi="標楷體" w:eastAsia="標楷體"/>
      <w:strike w:val="false"/>
      <w:dstrike w:val="false"/>
      <w:color w:val="000000"/>
      <w:sz w:val="28"/>
    </w:rPr>
  </w:style>
  <w:style w:type="character" w:styleId="ListLabel4">
    <w:name w:val="ListLabel 4"/>
    <w:qFormat/>
    <w:rPr>
      <w:rFonts w:ascii="標楷體" w:hAnsi="標楷體" w:eastAsia="標楷體"/>
      <w:strike w:val="false"/>
      <w:dstrike w:val="false"/>
      <w:color w:val="000000"/>
      <w:sz w:val="28"/>
    </w:rPr>
  </w:style>
  <w:style w:type="character" w:styleId="ListLabel5">
    <w:name w:val="ListLabel 5"/>
    <w:qFormat/>
    <w:rPr>
      <w:rFonts w:ascii="標楷體" w:hAnsi="標楷體" w:eastAsia="標楷體"/>
      <w:strike w:val="false"/>
      <w:dstrike w:val="false"/>
      <w:color w:val="000000"/>
      <w:sz w:val="28"/>
    </w:rPr>
  </w:style>
  <w:style w:type="character" w:styleId="ListLabel6">
    <w:name w:val="ListLabel 6"/>
    <w:qFormat/>
    <w:rPr>
      <w:rFonts w:ascii="標楷體" w:hAnsi="標楷體" w:eastAsia="標楷體"/>
      <w:strike w:val="false"/>
      <w:dstrike w:val="false"/>
      <w:color w:val="000000"/>
      <w:sz w:val="28"/>
    </w:rPr>
  </w:style>
  <w:style w:type="paragraph" w:styleId="Style14">
    <w:name w:val="標題"/>
    <w:basedOn w:val="Normal"/>
    <w:next w:val="Style15"/>
    <w:qFormat/>
    <w:pPr>
      <w:keepNext w:val="true"/>
      <w:spacing w:before="240" w:after="120"/>
    </w:pPr>
    <w:rPr>
      <w:rFonts w:ascii="Liberation Sans" w:hAnsi="Liberation Sans" w:eastAsia="微軟正黑體"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索引"/>
    <w:basedOn w:val="Normal"/>
    <w:qFormat/>
    <w:pPr>
      <w:suppressLineNumbers/>
    </w:pPr>
    <w:rPr>
      <w:rFonts w:cs="Lucida Sans"/>
    </w:rPr>
  </w:style>
  <w:style w:type="paragraph" w:styleId="ListParagraph">
    <w:name w:val="List Paragraph"/>
    <w:basedOn w:val="Normal"/>
    <w:uiPriority w:val="99"/>
    <w:qFormat/>
    <w:rsid w:val="00e50bec"/>
    <w:pPr>
      <w:ind w:left="480" w:hanging="0"/>
    </w:pPr>
    <w:rPr>
      <w:rFonts w:ascii="Times New Roman" w:hAnsi="Times New Roman" w:cs="Times New Roman"/>
    </w:rPr>
  </w:style>
  <w:style w:type="paragraph" w:styleId="Style19">
    <w:name w:val="Header"/>
    <w:basedOn w:val="Normal"/>
    <w:link w:val="HeaderChar"/>
    <w:uiPriority w:val="99"/>
    <w:rsid w:val="00f6099c"/>
    <w:pPr>
      <w:tabs>
        <w:tab w:val="clear" w:pos="480"/>
        <w:tab w:val="center" w:pos="4153" w:leader="none"/>
        <w:tab w:val="right" w:pos="8306" w:leader="none"/>
      </w:tabs>
      <w:snapToGrid w:val="false"/>
    </w:pPr>
    <w:rPr>
      <w:sz w:val="20"/>
      <w:szCs w:val="20"/>
    </w:rPr>
  </w:style>
  <w:style w:type="paragraph" w:styleId="Style20">
    <w:name w:val="Footer"/>
    <w:basedOn w:val="Normal"/>
    <w:link w:val="FooterChar"/>
    <w:uiPriority w:val="99"/>
    <w:rsid w:val="00f6099c"/>
    <w:pPr>
      <w:tabs>
        <w:tab w:val="clear" w:pos="480"/>
        <w:tab w:val="center" w:pos="4153" w:leader="none"/>
        <w:tab w:val="right" w:pos="8306" w:leader="none"/>
      </w:tabs>
      <w:snapToGrid w:val="false"/>
    </w:pPr>
    <w:rPr>
      <w:sz w:val="20"/>
      <w:szCs w:val="20"/>
    </w:rPr>
  </w:style>
  <w:style w:type="paragraph" w:styleId="BalloonText">
    <w:name w:val="Balloon Text"/>
    <w:basedOn w:val="Normal"/>
    <w:link w:val="BalloonTextChar"/>
    <w:uiPriority w:val="99"/>
    <w:semiHidden/>
    <w:qFormat/>
    <w:rsid w:val="0054363b"/>
    <w:pPr/>
    <w:rPr>
      <w:rFonts w:ascii="Calibri Light" w:hAnsi="Calibri Light" w:cs="Calibri Light"/>
      <w:sz w:val="18"/>
      <w:szCs w:val="18"/>
    </w:rPr>
  </w:style>
  <w:style w:type="paragraph" w:styleId="Style21">
    <w:name w:val="外框內容"/>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4085</TotalTime>
  <Application>LibreOffice/6.1.2.1$Windows_X86_64 LibreOffice_project/65905a128db06ba48db947242809d14d3f9a93fe</Application>
  <Pages>3</Pages>
  <Words>1818</Words>
  <Characters>1830</Characters>
  <CharactersWithSpaces>1882</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2017-08-31T06:36:00Z</dcterms:created>
  <dc:creator>蔡明奮</dc:creator>
  <dc:description/>
  <dc:language>zh-TW</dc:language>
  <cp:lastModifiedBy/>
  <cp:lastPrinted>2017-08-09T09:05:00Z</cp:lastPrinted>
  <dcterms:modified xsi:type="dcterms:W3CDTF">2021-01-21T15:01:06Z</dcterms:modified>
  <cp:revision>6</cp:revision>
  <dc:subject/>
  <dc:title>花蓮縣登山活動管理自治條例（核定本）</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