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F" w:rsidRPr="00007039" w:rsidRDefault="00410091">
      <w:pPr>
        <w:spacing w:line="480" w:lineRule="exact"/>
        <w:jc w:val="both"/>
        <w:rPr>
          <w:rFonts w:ascii="標楷體" w:eastAsia="標楷體" w:hAnsi="新細明體"/>
          <w:spacing w:val="32"/>
          <w:sz w:val="32"/>
        </w:rPr>
      </w:pPr>
      <w:r w:rsidRPr="00007039">
        <w:rPr>
          <w:rFonts w:ascii="標楷體" w:eastAsia="標楷體" w:hAnsi="新細明體" w:hint="eastAsia"/>
          <w:spacing w:val="32"/>
          <w:sz w:val="32"/>
        </w:rPr>
        <w:t>花蓮縣玉里鎮公所</w:t>
      </w:r>
      <w:r w:rsidR="00467D1F" w:rsidRPr="00007039">
        <w:rPr>
          <w:rFonts w:ascii="標楷體" w:eastAsia="標楷體" w:hAnsi="新細明體" w:hint="eastAsia"/>
          <w:spacing w:val="32"/>
          <w:sz w:val="32"/>
        </w:rPr>
        <w:t>國家賠償事件處理小組設置要點</w:t>
      </w:r>
    </w:p>
    <w:p w:rsidR="00467D1F" w:rsidRPr="00007039" w:rsidRDefault="00467D1F" w:rsidP="00414276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一、</w:t>
      </w:r>
      <w:r w:rsidR="00410091" w:rsidRPr="00007039">
        <w:rPr>
          <w:rFonts w:ascii="標楷體" w:eastAsia="標楷體" w:hAnsi="標楷體" w:hint="eastAsia"/>
          <w:spacing w:val="4"/>
          <w:sz w:val="24"/>
          <w:szCs w:val="24"/>
        </w:rPr>
        <w:t>花蓮縣玉里鎮公所</w:t>
      </w:r>
      <w:r w:rsidRPr="00007039">
        <w:rPr>
          <w:rFonts w:ascii="標楷體" w:eastAsia="標楷體" w:hAnsi="標楷體" w:hint="eastAsia"/>
          <w:spacing w:val="4"/>
          <w:sz w:val="24"/>
          <w:szCs w:val="24"/>
        </w:rPr>
        <w:t>（以下簡稱本</w:t>
      </w:r>
      <w:r w:rsidR="00410091" w:rsidRPr="00007039">
        <w:rPr>
          <w:rFonts w:ascii="標楷體" w:eastAsia="標楷體" w:hAnsi="標楷體" w:hint="eastAsia"/>
          <w:spacing w:val="4"/>
          <w:sz w:val="24"/>
          <w:szCs w:val="24"/>
        </w:rPr>
        <w:t>所</w:t>
      </w:r>
      <w:r w:rsidRPr="00007039">
        <w:rPr>
          <w:rFonts w:ascii="標楷體" w:eastAsia="標楷體" w:hAnsi="標楷體" w:hint="eastAsia"/>
          <w:spacing w:val="4"/>
          <w:sz w:val="24"/>
          <w:szCs w:val="24"/>
        </w:rPr>
        <w:t>）為處理本</w:t>
      </w:r>
      <w:r w:rsidR="00410091" w:rsidRPr="00007039">
        <w:rPr>
          <w:rFonts w:ascii="標楷體" w:eastAsia="標楷體" w:hAnsi="標楷體" w:hint="eastAsia"/>
          <w:spacing w:val="4"/>
          <w:sz w:val="24"/>
          <w:szCs w:val="24"/>
        </w:rPr>
        <w:t>所</w:t>
      </w:r>
      <w:r w:rsidR="00847BF3" w:rsidRPr="00007039">
        <w:rPr>
          <w:rFonts w:ascii="標楷體" w:eastAsia="標楷體" w:hAnsi="標楷體" w:hint="eastAsia"/>
          <w:spacing w:val="4"/>
          <w:sz w:val="24"/>
          <w:szCs w:val="24"/>
        </w:rPr>
        <w:t>及所屬機關</w:t>
      </w:r>
      <w:r w:rsidRPr="00007039">
        <w:rPr>
          <w:rFonts w:ascii="標楷體" w:eastAsia="標楷體" w:hAnsi="標楷體" w:hint="eastAsia"/>
          <w:spacing w:val="4"/>
          <w:sz w:val="24"/>
          <w:szCs w:val="24"/>
        </w:rPr>
        <w:t>國家賠償事件，特設置國家賠償事件處理小組（以下簡稱本小組），其設置依本要點之</w:t>
      </w:r>
      <w:r w:rsidRPr="00007039">
        <w:rPr>
          <w:rFonts w:ascii="標楷體" w:eastAsia="標楷體" w:hAnsi="標楷體" w:hint="eastAsia"/>
          <w:sz w:val="24"/>
          <w:szCs w:val="24"/>
        </w:rPr>
        <w:t>規定。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二、本小組</w:t>
      </w:r>
      <w:r w:rsidR="002114CB" w:rsidRPr="00007039">
        <w:rPr>
          <w:rFonts w:ascii="標楷體" w:eastAsia="標楷體" w:hAnsi="標楷體" w:hint="eastAsia"/>
          <w:sz w:val="24"/>
          <w:szCs w:val="24"/>
        </w:rPr>
        <w:t>任務</w:t>
      </w:r>
      <w:r w:rsidRPr="00007039">
        <w:rPr>
          <w:rFonts w:ascii="標楷體" w:eastAsia="標楷體" w:hAnsi="標楷體" w:hint="eastAsia"/>
          <w:sz w:val="24"/>
          <w:szCs w:val="24"/>
        </w:rPr>
        <w:t>如</w:t>
      </w:r>
      <w:r w:rsidR="002114CB" w:rsidRPr="00007039">
        <w:rPr>
          <w:rFonts w:ascii="標楷體" w:eastAsia="標楷體" w:hAnsi="標楷體" w:hint="eastAsia"/>
          <w:sz w:val="24"/>
          <w:szCs w:val="24"/>
        </w:rPr>
        <w:t>下</w:t>
      </w:r>
      <w:r w:rsidRPr="00007039">
        <w:rPr>
          <w:rFonts w:ascii="標楷體" w:eastAsia="標楷體" w:hAnsi="標楷體" w:hint="eastAsia"/>
          <w:sz w:val="24"/>
          <w:szCs w:val="24"/>
        </w:rPr>
        <w:t>：</w:t>
      </w:r>
    </w:p>
    <w:p w:rsidR="00467D1F" w:rsidRPr="00007039" w:rsidRDefault="00467D1F" w:rsidP="00414276">
      <w:pPr>
        <w:spacing w:line="440" w:lineRule="exact"/>
        <w:ind w:leftChars="270" w:left="515" w:hangingChars="12" w:hanging="29"/>
        <w:jc w:val="both"/>
        <w:rPr>
          <w:rFonts w:ascii="標楷體" w:eastAsia="標楷體" w:hAnsi="標楷體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（一）本</w:t>
      </w:r>
      <w:r w:rsidR="00161025" w:rsidRPr="00007039">
        <w:rPr>
          <w:rFonts w:ascii="標楷體" w:eastAsia="標楷體" w:hAnsi="標楷體" w:hint="eastAsia"/>
          <w:sz w:val="24"/>
          <w:szCs w:val="24"/>
        </w:rPr>
        <w:t>所</w:t>
      </w:r>
      <w:r w:rsidR="00C743A7" w:rsidRPr="00007039">
        <w:rPr>
          <w:rFonts w:ascii="標楷體" w:eastAsia="標楷體" w:hAnsi="標楷體" w:hint="eastAsia"/>
          <w:sz w:val="24"/>
          <w:szCs w:val="24"/>
        </w:rPr>
        <w:t>國家賠償事件處理及協議之諮詢事項</w:t>
      </w:r>
      <w:r w:rsidRPr="00007039">
        <w:rPr>
          <w:rFonts w:ascii="標楷體" w:eastAsia="標楷體" w:hAnsi="標楷體" w:hint="eastAsia"/>
          <w:sz w:val="24"/>
          <w:szCs w:val="24"/>
        </w:rPr>
        <w:t>。</w:t>
      </w:r>
    </w:p>
    <w:p w:rsidR="00467D1F" w:rsidRPr="00007039" w:rsidRDefault="00467D1F" w:rsidP="00414276">
      <w:pPr>
        <w:spacing w:line="440" w:lineRule="exact"/>
        <w:ind w:leftChars="270" w:left="515" w:hangingChars="12" w:hanging="29"/>
        <w:jc w:val="both"/>
        <w:rPr>
          <w:rFonts w:ascii="標楷體" w:eastAsia="標楷體" w:hAnsi="標楷體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（二）本</w:t>
      </w:r>
      <w:r w:rsidR="00161025" w:rsidRPr="00007039">
        <w:rPr>
          <w:rFonts w:ascii="標楷體" w:eastAsia="標楷體" w:hAnsi="標楷體" w:hint="eastAsia"/>
          <w:sz w:val="24"/>
          <w:szCs w:val="24"/>
        </w:rPr>
        <w:t>所</w:t>
      </w:r>
      <w:r w:rsidRPr="00007039">
        <w:rPr>
          <w:rFonts w:ascii="標楷體" w:eastAsia="標楷體" w:hAnsi="標楷體" w:hint="eastAsia"/>
          <w:sz w:val="24"/>
          <w:szCs w:val="24"/>
        </w:rPr>
        <w:t>所屬機關國家賠償事件處理及協議</w:t>
      </w:r>
      <w:r w:rsidR="00C743A7" w:rsidRPr="00007039">
        <w:rPr>
          <w:rFonts w:ascii="標楷體" w:eastAsia="標楷體" w:hAnsi="標楷體" w:hint="eastAsia"/>
          <w:sz w:val="24"/>
          <w:szCs w:val="24"/>
        </w:rPr>
        <w:t>之諮詢事項</w:t>
      </w:r>
      <w:r w:rsidRPr="00007039">
        <w:rPr>
          <w:rFonts w:ascii="標楷體" w:eastAsia="標楷體" w:hAnsi="標楷體" w:hint="eastAsia"/>
          <w:sz w:val="24"/>
          <w:szCs w:val="24"/>
        </w:rPr>
        <w:t>。</w:t>
      </w:r>
    </w:p>
    <w:p w:rsidR="00467D1F" w:rsidRPr="00007039" w:rsidRDefault="00467D1F" w:rsidP="00414276">
      <w:pPr>
        <w:spacing w:line="440" w:lineRule="exact"/>
        <w:ind w:leftChars="270" w:left="515" w:hangingChars="12" w:hanging="29"/>
        <w:jc w:val="both"/>
        <w:rPr>
          <w:rFonts w:ascii="標楷體" w:eastAsia="標楷體" w:hAnsi="標楷體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（三）求償事件之</w:t>
      </w:r>
      <w:r w:rsidR="00C743A7" w:rsidRPr="00007039">
        <w:rPr>
          <w:rFonts w:ascii="標楷體" w:eastAsia="標楷體" w:hAnsi="標楷體" w:hint="eastAsia"/>
          <w:sz w:val="24"/>
          <w:szCs w:val="24"/>
        </w:rPr>
        <w:t>諮詢事項</w:t>
      </w:r>
      <w:r w:rsidRPr="00007039">
        <w:rPr>
          <w:rFonts w:ascii="標楷體" w:eastAsia="標楷體" w:hAnsi="標楷體" w:hint="eastAsia"/>
          <w:sz w:val="24"/>
          <w:szCs w:val="24"/>
        </w:rPr>
        <w:t>。</w:t>
      </w:r>
    </w:p>
    <w:p w:rsidR="00467D1F" w:rsidRPr="00007039" w:rsidRDefault="00467D1F" w:rsidP="00414276">
      <w:pPr>
        <w:spacing w:line="440" w:lineRule="exact"/>
        <w:ind w:leftChars="270" w:left="515" w:hangingChars="12" w:hanging="29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（四）其他有關國家賠償</w:t>
      </w:r>
      <w:r w:rsidR="00C743A7" w:rsidRPr="00007039">
        <w:rPr>
          <w:rFonts w:ascii="標楷體" w:eastAsia="標楷體" w:hAnsi="標楷體" w:hint="eastAsia"/>
          <w:sz w:val="24"/>
          <w:szCs w:val="24"/>
        </w:rPr>
        <w:t>之諮詢事項</w:t>
      </w:r>
      <w:r w:rsidRPr="00007039">
        <w:rPr>
          <w:rFonts w:ascii="標楷體" w:eastAsia="標楷體" w:hAnsi="標楷體" w:hint="eastAsia"/>
          <w:sz w:val="24"/>
          <w:szCs w:val="24"/>
        </w:rPr>
        <w:t>。</w:t>
      </w:r>
    </w:p>
    <w:p w:rsidR="00467D1F" w:rsidRPr="00007039" w:rsidRDefault="00467D1F" w:rsidP="00414276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三、</w:t>
      </w:r>
      <w:r w:rsidRPr="00453B3E">
        <w:rPr>
          <w:rFonts w:ascii="標楷體" w:eastAsia="標楷體" w:hAnsi="標楷體" w:hint="eastAsia"/>
          <w:sz w:val="24"/>
          <w:szCs w:val="24"/>
          <w:u w:val="single"/>
        </w:rPr>
        <w:t>本小組置委員</w:t>
      </w:r>
      <w:r w:rsidR="00AE631F" w:rsidRPr="00453B3E">
        <w:rPr>
          <w:rFonts w:ascii="標楷體" w:eastAsia="標楷體" w:hAnsi="標楷體" w:hint="eastAsia"/>
          <w:sz w:val="24"/>
          <w:szCs w:val="24"/>
          <w:u w:val="single"/>
        </w:rPr>
        <w:t>十四</w:t>
      </w:r>
      <w:r w:rsidR="002114CB" w:rsidRPr="00453B3E">
        <w:rPr>
          <w:rFonts w:ascii="標楷體" w:eastAsia="標楷體" w:hAnsi="標楷體" w:hint="eastAsia"/>
          <w:sz w:val="24"/>
          <w:szCs w:val="24"/>
          <w:u w:val="single"/>
        </w:rPr>
        <w:t>人，</w:t>
      </w:r>
      <w:r w:rsidR="00410091" w:rsidRPr="00453B3E">
        <w:rPr>
          <w:rFonts w:ascii="標楷體" w:eastAsia="標楷體" w:hAnsi="標楷體" w:hint="eastAsia"/>
          <w:sz w:val="24"/>
          <w:szCs w:val="24"/>
          <w:u w:val="single"/>
        </w:rPr>
        <w:t>由本所</w:t>
      </w:r>
      <w:r w:rsidR="002114CB" w:rsidRPr="00453B3E">
        <w:rPr>
          <w:rFonts w:ascii="標楷體" w:eastAsia="標楷體" w:hAnsi="標楷體" w:hint="eastAsia"/>
          <w:sz w:val="24"/>
          <w:szCs w:val="24"/>
          <w:u w:val="single"/>
        </w:rPr>
        <w:t>秘書、</w:t>
      </w:r>
      <w:r w:rsidR="00410091" w:rsidRPr="00453B3E">
        <w:rPr>
          <w:rFonts w:ascii="標楷體" w:eastAsia="標楷體" w:hAnsi="標楷體" w:hint="eastAsia"/>
          <w:sz w:val="24"/>
          <w:szCs w:val="24"/>
          <w:u w:val="single"/>
        </w:rPr>
        <w:t>各課室主管</w:t>
      </w:r>
      <w:r w:rsidR="00032AF2" w:rsidRPr="00453B3E">
        <w:rPr>
          <w:rFonts w:ascii="標楷體" w:eastAsia="標楷體" w:hAnsi="標楷體" w:hint="eastAsia"/>
          <w:sz w:val="24"/>
          <w:szCs w:val="24"/>
          <w:u w:val="single"/>
        </w:rPr>
        <w:t>及調解委員會秘書</w:t>
      </w:r>
      <w:r w:rsidR="00847BF3" w:rsidRPr="00453B3E">
        <w:rPr>
          <w:rFonts w:ascii="標楷體" w:eastAsia="標楷體" w:hAnsi="標楷體" w:hint="eastAsia"/>
          <w:sz w:val="24"/>
          <w:szCs w:val="24"/>
          <w:u w:val="single"/>
        </w:rPr>
        <w:t>兼</w:t>
      </w:r>
      <w:r w:rsidR="00410091" w:rsidRPr="00453B3E">
        <w:rPr>
          <w:rFonts w:ascii="標楷體" w:eastAsia="標楷體" w:hAnsi="標楷體" w:hint="eastAsia"/>
          <w:sz w:val="24"/>
          <w:szCs w:val="24"/>
          <w:u w:val="single"/>
        </w:rPr>
        <w:t>任</w:t>
      </w:r>
      <w:r w:rsidR="00032AF2" w:rsidRPr="00453B3E">
        <w:rPr>
          <w:rFonts w:ascii="標楷體" w:eastAsia="標楷體" w:hAnsi="標楷體" w:hint="eastAsia"/>
          <w:sz w:val="24"/>
          <w:szCs w:val="24"/>
          <w:u w:val="single"/>
        </w:rPr>
        <w:t>之</w:t>
      </w:r>
      <w:r w:rsidR="00410091" w:rsidRPr="00453B3E">
        <w:rPr>
          <w:rFonts w:ascii="標楷體" w:eastAsia="標楷體" w:hAnsi="標楷體" w:hint="eastAsia"/>
          <w:sz w:val="24"/>
          <w:szCs w:val="24"/>
          <w:u w:val="single"/>
        </w:rPr>
        <w:t>，</w:t>
      </w:r>
      <w:r w:rsidRPr="00453B3E">
        <w:rPr>
          <w:rFonts w:ascii="標楷體" w:eastAsia="標楷體" w:hAnsi="標楷體" w:hint="eastAsia"/>
          <w:sz w:val="24"/>
          <w:szCs w:val="24"/>
          <w:u w:val="single"/>
        </w:rPr>
        <w:t>秘書兼召集人。</w:t>
      </w:r>
    </w:p>
    <w:p w:rsidR="00467D1F" w:rsidRPr="00007039" w:rsidRDefault="00467D1F" w:rsidP="00414276">
      <w:pPr>
        <w:spacing w:line="440" w:lineRule="exact"/>
        <w:ind w:leftChars="270" w:left="515" w:hangingChars="12" w:hanging="29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前項委員應親自出席會議。</w:t>
      </w:r>
    </w:p>
    <w:p w:rsidR="00467D1F" w:rsidRPr="00007039" w:rsidRDefault="00467D1F" w:rsidP="00414276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四、本小組開會時由召集人擔任主席，召集人因故不能出席時，由召集人指定委員一人擔任主席。</w:t>
      </w:r>
    </w:p>
    <w:p w:rsidR="00847BF3" w:rsidRPr="00007039" w:rsidRDefault="002114CB" w:rsidP="00847BF3">
      <w:pPr>
        <w:spacing w:line="440" w:lineRule="exact"/>
        <w:ind w:leftChars="266" w:left="491" w:hangingChars="5" w:hanging="1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前項</w:t>
      </w:r>
      <w:r w:rsidR="00847BF3" w:rsidRPr="00007039">
        <w:rPr>
          <w:rFonts w:ascii="標楷體" w:eastAsia="標楷體" w:hAnsi="標楷體" w:hint="eastAsia"/>
          <w:sz w:val="24"/>
          <w:szCs w:val="24"/>
        </w:rPr>
        <w:t>會</w:t>
      </w:r>
      <w:r w:rsidRPr="00007039">
        <w:rPr>
          <w:rFonts w:ascii="標楷體" w:eastAsia="標楷體" w:hAnsi="標楷體" w:hint="eastAsia"/>
          <w:sz w:val="24"/>
          <w:szCs w:val="24"/>
        </w:rPr>
        <w:t>議</w:t>
      </w:r>
      <w:r w:rsidR="00847BF3" w:rsidRPr="00007039">
        <w:rPr>
          <w:rFonts w:ascii="標楷體" w:eastAsia="標楷體" w:hAnsi="標楷體" w:hint="eastAsia"/>
          <w:sz w:val="24"/>
          <w:szCs w:val="24"/>
        </w:rPr>
        <w:t>之決議，由三分之一以上委員之出席，出席委員三分之二以上之同意行之。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五、本小組綜合業務由本</w:t>
      </w:r>
      <w:r w:rsidR="00032AF2" w:rsidRPr="00007039">
        <w:rPr>
          <w:rFonts w:ascii="標楷體" w:eastAsia="標楷體" w:hAnsi="標楷體" w:hint="eastAsia"/>
          <w:sz w:val="24"/>
          <w:szCs w:val="24"/>
        </w:rPr>
        <w:t>所行政室</w:t>
      </w:r>
      <w:r w:rsidRPr="00007039">
        <w:rPr>
          <w:rFonts w:ascii="標楷體" w:eastAsia="標楷體" w:hAnsi="標楷體" w:hint="eastAsia"/>
          <w:sz w:val="24"/>
          <w:szCs w:val="24"/>
        </w:rPr>
        <w:t>辦理。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六、本小組視人民請求賠償事件之情況得隨時召開會議。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七、本小組所需業務經費，由本</w:t>
      </w:r>
      <w:r w:rsidR="00410091" w:rsidRPr="00007039">
        <w:rPr>
          <w:rFonts w:ascii="標楷體" w:eastAsia="標楷體" w:hAnsi="標楷體" w:hint="eastAsia"/>
          <w:sz w:val="24"/>
          <w:szCs w:val="24"/>
        </w:rPr>
        <w:t>所</w:t>
      </w:r>
      <w:r w:rsidRPr="00007039">
        <w:rPr>
          <w:rFonts w:ascii="標楷體" w:eastAsia="標楷體" w:hAnsi="標楷體" w:hint="eastAsia"/>
          <w:sz w:val="24"/>
          <w:szCs w:val="24"/>
        </w:rPr>
        <w:t>編列預算支應。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八、本小組開會時得邀請具有專門知識經驗之專家及地方法院檢察</w:t>
      </w:r>
      <w:r w:rsidR="002114CB" w:rsidRPr="00007039">
        <w:rPr>
          <w:rFonts w:ascii="標楷體" w:eastAsia="標楷體" w:hAnsi="標楷體" w:hint="eastAsia"/>
          <w:sz w:val="24"/>
          <w:szCs w:val="24"/>
        </w:rPr>
        <w:t>署之檢</w:t>
      </w:r>
      <w:r w:rsidR="00AA3F3C" w:rsidRPr="00007039">
        <w:rPr>
          <w:rFonts w:ascii="標楷體" w:eastAsia="標楷體" w:hAnsi="標楷體" w:hint="eastAsia"/>
          <w:sz w:val="24"/>
          <w:szCs w:val="24"/>
        </w:rPr>
        <w:t>察</w:t>
      </w:r>
      <w:r w:rsidRPr="00007039">
        <w:rPr>
          <w:rFonts w:ascii="標楷體" w:eastAsia="標楷體" w:hAnsi="標楷體" w:hint="eastAsia"/>
          <w:sz w:val="24"/>
          <w:szCs w:val="24"/>
        </w:rPr>
        <w:t>官提供意見。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九、本小組行文時，以本</w:t>
      </w:r>
      <w:r w:rsidR="00410091" w:rsidRPr="00007039">
        <w:rPr>
          <w:rFonts w:ascii="標楷體" w:eastAsia="標楷體" w:hAnsi="標楷體" w:hint="eastAsia"/>
          <w:sz w:val="24"/>
          <w:szCs w:val="24"/>
        </w:rPr>
        <w:t>所</w:t>
      </w:r>
      <w:r w:rsidRPr="00007039">
        <w:rPr>
          <w:rFonts w:ascii="標楷體" w:eastAsia="標楷體" w:hAnsi="標楷體" w:hint="eastAsia"/>
          <w:sz w:val="24"/>
          <w:szCs w:val="24"/>
        </w:rPr>
        <w:t>名義行之。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  <w:r w:rsidRPr="00007039">
        <w:rPr>
          <w:rFonts w:ascii="標楷體" w:eastAsia="標楷體" w:hAnsi="標楷體" w:hint="eastAsia"/>
          <w:sz w:val="24"/>
          <w:szCs w:val="24"/>
        </w:rPr>
        <w:t>十、</w:t>
      </w:r>
      <w:r w:rsidR="00032AF2" w:rsidRPr="00007039">
        <w:rPr>
          <w:rFonts w:ascii="標楷體" w:eastAsia="標楷體" w:hAnsi="標楷體" w:hint="eastAsia"/>
          <w:sz w:val="24"/>
          <w:szCs w:val="24"/>
        </w:rPr>
        <w:t>本小組及兼任人員均為無給職。</w:t>
      </w:r>
    </w:p>
    <w:p w:rsidR="00467D1F" w:rsidRPr="00007039" w:rsidRDefault="00467D1F" w:rsidP="00414276">
      <w:pPr>
        <w:spacing w:line="440" w:lineRule="exact"/>
        <w:ind w:left="492" w:hangingChars="205" w:hanging="492"/>
        <w:jc w:val="both"/>
        <w:rPr>
          <w:rFonts w:ascii="標楷體" w:eastAsia="標楷體" w:hAnsi="標楷體" w:hint="eastAsia"/>
          <w:sz w:val="24"/>
          <w:szCs w:val="24"/>
        </w:rPr>
      </w:pPr>
    </w:p>
    <w:p w:rsidR="00467D1F" w:rsidRPr="00007039" w:rsidRDefault="00467D1F" w:rsidP="00414276">
      <w:pPr>
        <w:spacing w:line="440" w:lineRule="exact"/>
        <w:ind w:left="574" w:hangingChars="205" w:hanging="574"/>
        <w:jc w:val="both"/>
        <w:rPr>
          <w:rFonts w:ascii="標楷體" w:eastAsia="標楷體" w:hAnsi="標楷體" w:hint="eastAsia"/>
          <w:spacing w:val="20"/>
          <w:sz w:val="24"/>
          <w:szCs w:val="24"/>
        </w:rPr>
      </w:pPr>
    </w:p>
    <w:p w:rsidR="00467D1F" w:rsidRPr="00007039" w:rsidRDefault="00467D1F" w:rsidP="00414276">
      <w:pPr>
        <w:spacing w:line="440" w:lineRule="exact"/>
        <w:ind w:left="574" w:hangingChars="205" w:hanging="574"/>
        <w:jc w:val="both"/>
        <w:rPr>
          <w:rFonts w:ascii="標楷體" w:eastAsia="標楷體" w:hAnsi="標楷體" w:hint="eastAsia"/>
          <w:spacing w:val="20"/>
          <w:sz w:val="24"/>
          <w:szCs w:val="24"/>
        </w:rPr>
      </w:pPr>
    </w:p>
    <w:sectPr w:rsidR="00467D1F" w:rsidRPr="00007039">
      <w:footerReference w:type="even" r:id="rId7"/>
      <w:footerReference w:type="default" r:id="rId8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42" w:rsidRDefault="00597142">
      <w:r>
        <w:separator/>
      </w:r>
    </w:p>
  </w:endnote>
  <w:endnote w:type="continuationSeparator" w:id="1">
    <w:p w:rsidR="00597142" w:rsidRDefault="0059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1F" w:rsidRDefault="00467D1F">
    <w:pPr>
      <w:pStyle w:val="a5"/>
      <w:framePr w:wrap="around" w:vAnchor="text" w:hAnchor="margin" w:xAlign="center" w:y="1"/>
      <w:textDirection w:val="lrTbV"/>
      <w:rPr>
        <w:rStyle w:val="a6"/>
        <w:rFonts w:ascii="標楷體" w:eastAsia="標楷體" w:hAnsi="標楷體"/>
        <w:b/>
      </w:rPr>
    </w:pPr>
    <w:r>
      <w:rPr>
        <w:rStyle w:val="a6"/>
        <w:rFonts w:ascii="標楷體" w:eastAsia="標楷體" w:hAnsi="標楷體"/>
        <w:b/>
      </w:rPr>
      <w:fldChar w:fldCharType="begin"/>
    </w:r>
    <w:r>
      <w:rPr>
        <w:rStyle w:val="a6"/>
        <w:rFonts w:ascii="標楷體" w:eastAsia="標楷體" w:hAnsi="標楷體"/>
        <w:b/>
      </w:rPr>
      <w:instrText xml:space="preserve">PAGE  </w:instrText>
    </w:r>
    <w:r>
      <w:rPr>
        <w:rStyle w:val="a6"/>
        <w:rFonts w:ascii="標楷體" w:eastAsia="標楷體" w:hAnsi="標楷體"/>
        <w:b/>
      </w:rPr>
      <w:fldChar w:fldCharType="separate"/>
    </w:r>
    <w:r>
      <w:rPr>
        <w:rStyle w:val="a6"/>
        <w:rFonts w:ascii="標楷體" w:eastAsia="標楷體" w:hAnsi="標楷體"/>
        <w:b/>
        <w:noProof/>
      </w:rPr>
      <w:t>- 10 -</w:t>
    </w:r>
    <w:r>
      <w:rPr>
        <w:rStyle w:val="a6"/>
        <w:rFonts w:ascii="標楷體" w:eastAsia="標楷體" w:hAnsi="標楷體"/>
        <w:b/>
      </w:rPr>
      <w:fldChar w:fldCharType="end"/>
    </w:r>
  </w:p>
  <w:p w:rsidR="00467D1F" w:rsidRDefault="00467D1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1F" w:rsidRDefault="00467D1F">
    <w:pPr>
      <w:pStyle w:val="a5"/>
      <w:ind w:right="360"/>
      <w:jc w:val="center"/>
      <w:rPr>
        <w:rFonts w:hint="eastAsia"/>
      </w:rPr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453B3E">
      <w:rPr>
        <w:rFonts w:ascii="標楷體" w:eastAsia="標楷體" w:hAnsi="標楷體"/>
        <w:noProof/>
      </w:rPr>
      <w:t>- 1 -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42" w:rsidRDefault="00597142">
      <w:r>
        <w:separator/>
      </w:r>
    </w:p>
  </w:footnote>
  <w:footnote w:type="continuationSeparator" w:id="1">
    <w:p w:rsidR="00597142" w:rsidRDefault="0059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layout-flow:horizontal-ideographic" inset=".5mm,1mm,.5mm,1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F1"/>
    <w:rsid w:val="00007039"/>
    <w:rsid w:val="00032AF2"/>
    <w:rsid w:val="000C7676"/>
    <w:rsid w:val="000D160F"/>
    <w:rsid w:val="0012504A"/>
    <w:rsid w:val="00161025"/>
    <w:rsid w:val="001A6FCD"/>
    <w:rsid w:val="002114CB"/>
    <w:rsid w:val="0022790C"/>
    <w:rsid w:val="002F4C23"/>
    <w:rsid w:val="00410091"/>
    <w:rsid w:val="00414276"/>
    <w:rsid w:val="00453B3E"/>
    <w:rsid w:val="00454520"/>
    <w:rsid w:val="00467D1F"/>
    <w:rsid w:val="00594645"/>
    <w:rsid w:val="00597142"/>
    <w:rsid w:val="00753CA5"/>
    <w:rsid w:val="007A6B94"/>
    <w:rsid w:val="007D0FF1"/>
    <w:rsid w:val="00847BF3"/>
    <w:rsid w:val="00AA3F3C"/>
    <w:rsid w:val="00AC21E9"/>
    <w:rsid w:val="00AE631F"/>
    <w:rsid w:val="00B76055"/>
    <w:rsid w:val="00C743A7"/>
    <w:rsid w:val="00CB5392"/>
    <w:rsid w:val="00D67B5F"/>
    <w:rsid w:val="00EF549A"/>
    <w:rsid w:val="00F8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layout-flow:horizontal-ideographic" inset=".5mm,1mm,.5mm,1mm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customStyle="1" w:styleId="10">
    <w:name w:val="樣式1"/>
    <w:basedOn w:val="2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Block Text"/>
    <w:basedOn w:val="a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a">
    <w:name w:val="Body Text Indent"/>
    <w:basedOn w:val="a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b">
    <w:name w:val="Salutation"/>
    <w:basedOn w:val="a"/>
    <w:next w:val="a"/>
    <w:rPr>
      <w:rFonts w:eastAsia="細明體"/>
      <w:spacing w:val="4"/>
    </w:rPr>
  </w:style>
  <w:style w:type="paragraph" w:styleId="ac">
    <w:name w:val="Closing"/>
    <w:basedOn w:val="a"/>
    <w:next w:val="a"/>
    <w:pPr>
      <w:ind w:left="4320"/>
    </w:pPr>
    <w:rPr>
      <w:rFonts w:eastAsia="細明體"/>
      <w:spacing w:val="4"/>
    </w:rPr>
  </w:style>
  <w:style w:type="paragraph" w:styleId="ad">
    <w:name w:val="List"/>
    <w:basedOn w:val="a"/>
    <w:pPr>
      <w:ind w:left="480" w:hanging="480"/>
    </w:pPr>
  </w:style>
  <w:style w:type="paragraph" w:styleId="20">
    <w:name w:val="List 2"/>
    <w:basedOn w:val="a"/>
    <w:pPr>
      <w:ind w:left="960" w:hanging="480"/>
    </w:pPr>
  </w:style>
  <w:style w:type="paragraph" w:styleId="ae">
    <w:name w:val="caption"/>
    <w:basedOn w:val="a"/>
    <w:next w:val="a"/>
    <w:qFormat/>
    <w:pPr>
      <w:spacing w:before="120" w:after="120"/>
    </w:pPr>
  </w:style>
  <w:style w:type="paragraph" w:styleId="af">
    <w:name w:val="Body Text"/>
    <w:basedOn w:val="a"/>
    <w:pPr>
      <w:spacing w:after="120"/>
    </w:pPr>
  </w:style>
  <w:style w:type="paragraph" w:styleId="21">
    <w:name w:val="Body Text First Indent 2"/>
    <w:basedOn w:val="aa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0">
    <w:name w:val="Hyperlink"/>
    <w:basedOn w:val="a1"/>
    <w:rPr>
      <w:color w:val="0000FF"/>
      <w:u w:val="single"/>
    </w:rPr>
  </w:style>
  <w:style w:type="paragraph" w:styleId="22">
    <w:name w:val="Body Text Indent 2"/>
    <w:basedOn w:val="a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1">
    <w:name w:val="FollowedHyperlink"/>
    <w:basedOn w:val="a1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2">
    <w:name w:val="綱要標題"/>
    <w:basedOn w:val="ab"/>
    <w:next w:val="a"/>
    <w:rPr>
      <w:rFonts w:eastAsia="全真楷書"/>
      <w:color w:val="000080"/>
      <w:spacing w:val="0"/>
      <w:sz w:val="24"/>
    </w:rPr>
  </w:style>
  <w:style w:type="character" w:styleId="af3">
    <w:name w:val="annotation reference"/>
    <w:basedOn w:val="a1"/>
    <w:semiHidden/>
    <w:rPr>
      <w:sz w:val="18"/>
      <w:szCs w:val="18"/>
    </w:rPr>
  </w:style>
  <w:style w:type="paragraph" w:styleId="af4">
    <w:name w:val="annotation text"/>
    <w:basedOn w:val="a"/>
    <w:semiHidden/>
    <w:rPr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5">
    <w:name w:val="行文機關"/>
    <w:basedOn w:val="a"/>
    <w:pPr>
      <w:snapToGrid w:val="0"/>
    </w:pPr>
    <w:rPr>
      <w:rFonts w:eastAsia="標楷體"/>
      <w:sz w:val="28"/>
    </w:rPr>
  </w:style>
  <w:style w:type="paragraph" w:customStyle="1" w:styleId="af6">
    <w:name w:val="主旨"/>
    <w:basedOn w:val="a"/>
    <w:pPr>
      <w:snapToGrid w:val="0"/>
      <w:ind w:left="1077" w:hanging="1077"/>
    </w:pPr>
    <w:rPr>
      <w:rFonts w:eastAsia="標楷體"/>
      <w:sz w:val="36"/>
    </w:rPr>
  </w:style>
  <w:style w:type="paragraph" w:customStyle="1" w:styleId="af7">
    <w:name w:val="發文日期"/>
    <w:basedOn w:val="a"/>
    <w:pPr>
      <w:snapToGrid w:val="0"/>
    </w:pPr>
    <w:rPr>
      <w:rFonts w:eastAsia="標楷體"/>
      <w:sz w:val="28"/>
    </w:rPr>
  </w:style>
  <w:style w:type="paragraph" w:styleId="af8">
    <w:name w:val="Balloon Text"/>
    <w:basedOn w:val="a"/>
    <w:semiHidden/>
    <w:rPr>
      <w:rFonts w:ascii="Arial" w:hAnsi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subject/>
  <dc:creator>user</dc:creator>
  <cp:keywords/>
  <cp:lastModifiedBy>jessica</cp:lastModifiedBy>
  <cp:revision>3</cp:revision>
  <cp:lastPrinted>2015-05-26T05:25:00Z</cp:lastPrinted>
  <dcterms:created xsi:type="dcterms:W3CDTF">2020-09-28T12:42:00Z</dcterms:created>
  <dcterms:modified xsi:type="dcterms:W3CDTF">2020-09-28T12:43:00Z</dcterms:modified>
</cp:coreProperties>
</file>